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8" w:name="_GoBack"/>
      <w:bookmarkEnd w:id="8"/>
      <w:r>
        <w:rPr>
          <w:rFonts w:hint="eastAsia" w:ascii="Arial" w:hAnsi="Arial" w:cs="Arial"/>
          <w:b/>
          <w:sz w:val="24"/>
          <w:szCs w:val="24"/>
        </w:rPr>
        <w:t xml:space="preserve"> </w:t>
      </w:r>
      <w:r>
        <w:rPr>
          <w:rFonts w:hint="eastAsia" w:ascii="Arial" w:hAnsi="Arial" w:eastAsia="宋体" w:cs="Arial"/>
          <w:b/>
          <w:color w:val="auto"/>
          <w:sz w:val="24"/>
          <w:szCs w:val="24"/>
          <w:lang w:val="en-US" w:eastAsia="zh-CN"/>
        </w:rPr>
        <w:t>R4-2501510</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Athens, GR, 17th – 21st February, 2025</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7.18.3</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NR demodulation performance requirements for NR BS with MMSE-IRC receiver was approved in [1], the objectives related to NR BS MMSE-IRC receiver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0"/>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Define </w:t>
            </w:r>
            <w:r>
              <w:rPr>
                <w:rFonts w:hint="eastAsia"/>
                <w:lang w:eastAsia="zh-CN"/>
              </w:rPr>
              <w:t>FR1 PUSCH</w:t>
            </w:r>
            <w:r>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Pr>
                <w:lang w:eastAsia="zh-CN"/>
              </w:rPr>
              <w:t>based on the following assumptions: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Receiver type: MMSE-IRC receiver </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ascii="Times" w:hAnsi="Times" w:eastAsia="Batang"/>
                <w:szCs w:val="24"/>
                <w:lang w:eastAsia="zh-CN"/>
              </w:rPr>
            </w:pPr>
            <w:r>
              <w:rPr>
                <w:lang w:eastAsia="zh-CN"/>
              </w:rPr>
              <w:t>Scenarios: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FDD synchronous deployments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TDD synchronous deployments with aligned UL:DL configurations among cells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Slot-based transmission and aligned SCS among cells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hint="default"/>
                <w:szCs w:val="22"/>
                <w:vertAlign w:val="baseline"/>
                <w:lang w:val="en-US" w:eastAsia="zh-CN"/>
              </w:rPr>
            </w:pPr>
            <w:r>
              <w:rPr>
                <w:lang w:eastAsia="zh-CN"/>
              </w:rPr>
              <w:t>Reuse LTE based interference profile in TR 36.884 as a starting point. Other interference profiles are not precluded.</w:t>
            </w:r>
          </w:p>
        </w:tc>
      </w:tr>
    </w:tbl>
    <w:p>
      <w:pPr>
        <w:spacing w:before="120" w:after="120"/>
        <w:rPr>
          <w:rFonts w:hint="default"/>
          <w:lang w:val="en-US" w:eastAsia="zh-CN"/>
        </w:rPr>
      </w:pPr>
      <w:r>
        <w:rPr>
          <w:rFonts w:hint="eastAsia"/>
          <w:lang w:val="en-US" w:eastAsia="zh-CN"/>
        </w:rPr>
        <w:t xml:space="preserve">In this contribution, we give some initial discussion on the NR BS MMSE-IRC receiver. </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bookmarkStart w:id="4" w:name="OLE_LINK41"/>
      <w:bookmarkStart w:id="5" w:name="OLE_LINK23"/>
      <w:bookmarkStart w:id="6" w:name="OLE_LINK66"/>
      <w:bookmarkStart w:id="7" w:name="OLE_LINK6"/>
      <w:r>
        <w:rPr>
          <w:rFonts w:hint="eastAsia"/>
          <w:sz w:val="20"/>
          <w:szCs w:val="20"/>
          <w:lang w:val="en-US" w:eastAsia="zh-CN"/>
        </w:rPr>
        <w:t>Based on the conclusion in RAN4 #113 meeting</w:t>
      </w:r>
      <w:r>
        <w:rPr>
          <w:rFonts w:hint="eastAsia"/>
          <w:sz w:val="20"/>
          <w:szCs w:val="20"/>
          <w:vertAlign w:val="superscript"/>
          <w:lang w:val="en-US" w:eastAsia="zh-CN"/>
        </w:rPr>
        <w:t>[2]</w:t>
      </w:r>
      <w:r>
        <w:rPr>
          <w:rFonts w:hint="eastAsia"/>
          <w:sz w:val="20"/>
          <w:szCs w:val="20"/>
          <w:lang w:val="en-US" w:eastAsia="zh-CN"/>
        </w:rPr>
        <w:t>, some issues are still undecided for BS demodulation performance requirements MMSE-IRC.</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In last meeting, it is proposed to check the performance gain of 1 or 2 interferers for 2Rx.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val="0"/>
              <w:topLinePunct w:val="0"/>
              <w:autoSpaceDE w:val="0"/>
              <w:autoSpaceDN w:val="0"/>
              <w:bidi w:val="0"/>
              <w:adjustRightInd w:val="0"/>
              <w:snapToGrid w:val="0"/>
              <w:spacing w:after="180" w:afterLines="0" w:line="240" w:lineRule="auto"/>
              <w:textAlignment w:val="baseline"/>
              <w:rPr>
                <w:b/>
                <w:sz w:val="20"/>
                <w:szCs w:val="20"/>
                <w:u w:val="single"/>
              </w:rPr>
            </w:pPr>
            <w:r>
              <w:rPr>
                <w:b/>
                <w:sz w:val="20"/>
                <w:szCs w:val="20"/>
                <w:u w:val="single"/>
              </w:rPr>
              <w:t>Number of interferers for 2Rx</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1: Define BS MMSE-IRC requirements for 2Rx</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rFonts w:eastAsiaTheme="minorEastAsia"/>
                <w:sz w:val="20"/>
                <w:szCs w:val="20"/>
                <w:lang w:eastAsia="zh-CN"/>
              </w:rPr>
            </w:pPr>
            <w:r>
              <w:rPr>
                <w:rFonts w:eastAsiaTheme="minorEastAsia"/>
                <w:sz w:val="20"/>
                <w:szCs w:val="20"/>
                <w:lang w:eastAsia="zh-CN"/>
              </w:rPr>
              <w:t>Option 1A: 1 interferer</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ption 1B: 2 interferers</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ption 1C: Consider 2 interferers for HomNet and 1 interfere for HetNet</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2: Do not need to specify requirements for 2Rx</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rFonts w:hint="eastAsia"/>
                <w:sz w:val="20"/>
                <w:szCs w:val="20"/>
                <w:vertAlign w:val="baseline"/>
                <w:lang w:val="en-US" w:eastAsia="zh-CN"/>
              </w:rPr>
            </w:pPr>
            <w:r>
              <w:rPr>
                <w:sz w:val="20"/>
                <w:szCs w:val="20"/>
                <w:lang w:eastAsia="zh-CN"/>
              </w:rPr>
              <w:t>Companies are encouraged to provide simulation results for 1 or 2 interferers for 2Rx, to check the performance gain.</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From our simulation results provided last meeting [3], we can observe that for 2 interfers 2Rx, the gain of MMSE-IRC over MMSE is from 1.1 to 2.2 dB. TDLA30-10 is selected for both serving cell and interfering cell. While the gain for 1 interfering cell and 2Rx is from 2.2 to 5.1 dB. From the simulation results, we think the gain is obvious for some scenario.</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In some scenarios, obvious performance gain , such as 2 dB or above, can be observed for 2 interfers 2Rx.</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lang w:val="en-US" w:eastAsia="zh-CN"/>
        </w:rPr>
      </w:pPr>
      <w:r>
        <w:rPr>
          <w:rFonts w:hint="eastAsia"/>
          <w:sz w:val="20"/>
          <w:szCs w:val="20"/>
          <w:lang w:val="en-US" w:eastAsia="zh-CN"/>
        </w:rPr>
        <w:t xml:space="preserve">With regard to the number for interferers for 2Rx, it is better align with LTE TS36104. From </w:t>
      </w:r>
      <w:r>
        <w:rPr>
          <w:rFonts w:hint="eastAsia"/>
        </w:rPr>
        <w:t>Table 8.2.6.1-</w:t>
      </w:r>
      <w:r>
        <w:rPr>
          <w:rFonts w:hint="eastAsia"/>
          <w:lang w:val="en-US" w:eastAsia="zh-CN"/>
        </w:rPr>
        <w:t>4 in 36104 we can find that the requirements for 2/4/8 Rx are verified.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5"/>
              <w:pageBreakBefore w:val="0"/>
              <w:kinsoku/>
              <w:wordWrap/>
              <w:overflowPunct/>
              <w:topLinePunct w:val="0"/>
              <w:autoSpaceDE/>
              <w:autoSpaceDN/>
              <w:bidi w:val="0"/>
              <w:adjustRightInd w:val="0"/>
              <w:snapToGrid w:val="0"/>
              <w:spacing w:after="180" w:afterLines="0" w:line="240" w:lineRule="auto"/>
              <w:textAlignment w:val="auto"/>
              <w:rPr>
                <w:lang w:eastAsia="zh-CN"/>
              </w:rPr>
            </w:pPr>
            <w:r>
              <w:t>Table 8.2.6.1-</w:t>
            </w:r>
            <w:r>
              <w:rPr>
                <w:rFonts w:hint="eastAsia"/>
                <w:lang w:eastAsia="zh-CN"/>
              </w:rPr>
              <w:t>4</w:t>
            </w:r>
            <w:r>
              <w:rPr>
                <w:lang w:eastAsia="zh-CN"/>
              </w:rPr>
              <w:t>:</w:t>
            </w:r>
            <w:r>
              <w:t xml:space="preserve"> Enhanced </w:t>
            </w:r>
            <w:r>
              <w:rPr>
                <w:rFonts w:hint="eastAsia"/>
                <w:lang w:eastAsia="zh-CN"/>
              </w:rPr>
              <w:t>p</w:t>
            </w:r>
            <w:r>
              <w:t xml:space="preserve">erformance </w:t>
            </w:r>
            <w:r>
              <w:rPr>
                <w:rFonts w:hint="eastAsia"/>
                <w:lang w:eastAsia="zh-CN"/>
              </w:rPr>
              <w:t>r</w:t>
            </w:r>
            <w:r>
              <w:t xml:space="preserve">equirement </w:t>
            </w:r>
            <w:r>
              <w:rPr>
                <w:rFonts w:hint="eastAsia"/>
                <w:lang w:eastAsia="zh-CN"/>
              </w:rPr>
              <w:t>t</w:t>
            </w:r>
            <w:r>
              <w:t xml:space="preserve">ype </w:t>
            </w:r>
            <w:r>
              <w:rPr>
                <w:rFonts w:hint="eastAsia"/>
                <w:lang w:eastAsia="zh-CN"/>
              </w:rPr>
              <w:t>A</w:t>
            </w:r>
            <w:r>
              <w:t xml:space="preserve"> for PUSCH, </w:t>
            </w:r>
            <w:r>
              <w:rPr>
                <w:rFonts w:hint="eastAsia"/>
                <w:lang w:eastAsia="zh-CN"/>
              </w:rPr>
              <w:t>10</w:t>
            </w:r>
            <w:r>
              <w:t xml:space="preserve"> MHz Channel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007"/>
              <w:gridCol w:w="1311"/>
              <w:gridCol w:w="1226"/>
              <w:gridCol w:w="1246"/>
              <w:gridCol w:w="723"/>
              <w:gridCol w:w="1061"/>
              <w:gridCol w:w="1176"/>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1007" w:type="dxa"/>
                  <w:vMerge w:val="restart"/>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 xml:space="preserve">Number of </w:t>
                  </w:r>
                  <w:r>
                    <w:rPr>
                      <w:rFonts w:cs="Arial"/>
                      <w:lang w:eastAsia="zh-CN"/>
                    </w:rPr>
                    <w:t>T</w:t>
                  </w:r>
                  <w:r>
                    <w:rPr>
                      <w:rFonts w:cs="Arial"/>
                      <w:lang w:eastAsia="ja-JP"/>
                    </w:rPr>
                    <w:t>X antennas</w:t>
                  </w:r>
                  <w:r>
                    <w:rPr>
                      <w:rFonts w:hint="eastAsia" w:cs="Arial"/>
                      <w:lang w:eastAsia="zh-CN"/>
                    </w:rPr>
                    <w:t xml:space="preserve"> </w:t>
                  </w:r>
                  <w:r>
                    <w:rPr>
                      <w:rFonts w:cs="Arial"/>
                      <w:lang w:eastAsia="ja-JP"/>
                    </w:rPr>
                    <w:t>(N</w:t>
                  </w:r>
                  <w:r>
                    <w:rPr>
                      <w:rFonts w:hint="eastAsia" w:cs="Arial"/>
                      <w:lang w:eastAsia="zh-CN"/>
                    </w:rPr>
                    <w:t>ote</w:t>
                  </w:r>
                  <w:r>
                    <w:rPr>
                      <w:rFonts w:cs="Arial"/>
                      <w:lang w:eastAsia="ja-JP"/>
                    </w:rPr>
                    <w:t xml:space="preserve"> </w:t>
                  </w:r>
                  <w:r>
                    <w:rPr>
                      <w:rFonts w:hint="eastAsia" w:cs="Arial"/>
                      <w:lang w:eastAsia="zh-CN"/>
                    </w:rPr>
                    <w:t>1</w:t>
                  </w:r>
                  <w:r>
                    <w:rPr>
                      <w:rFonts w:cs="Arial"/>
                      <w:lang w:eastAsia="ja-JP"/>
                    </w:rPr>
                    <w:t>)</w:t>
                  </w:r>
                </w:p>
              </w:tc>
              <w:tc>
                <w:tcPr>
                  <w:tcW w:w="1007" w:type="dxa"/>
                  <w:vMerge w:val="restart"/>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ja-JP"/>
                    </w:rPr>
                    <w:t>Number of RX antennas</w:t>
                  </w:r>
                  <w:r>
                    <w:rPr>
                      <w:rFonts w:hint="eastAsia" w:cs="Arial"/>
                      <w:lang w:eastAsia="zh-CN"/>
                    </w:rPr>
                    <w:t xml:space="preserve"> (Note 1)</w:t>
                  </w:r>
                </w:p>
              </w:tc>
              <w:tc>
                <w:tcPr>
                  <w:tcW w:w="3906" w:type="dxa"/>
                  <w:gridSpan w:val="3"/>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val="fr-FR" w:eastAsia="zh-CN"/>
                    </w:rPr>
                  </w:pPr>
                  <w:r>
                    <w:rPr>
                      <w:rFonts w:cs="Arial"/>
                      <w:lang w:val="fr-FR" w:eastAsia="zh-CN"/>
                    </w:rPr>
                    <w:t>Propagation conditions and correlation matrix (Annex B)</w:t>
                  </w:r>
                  <w:r>
                    <w:rPr>
                      <w:rFonts w:hint="eastAsia" w:cs="Arial"/>
                      <w:lang w:val="fr-FR" w:eastAsia="zh-CN"/>
                    </w:rPr>
                    <w:t xml:space="preserve"> </w:t>
                  </w:r>
                  <w:r>
                    <w:rPr>
                      <w:rFonts w:cs="Arial"/>
                      <w:lang w:val="fr-FR" w:eastAsia="ja-JP"/>
                    </w:rPr>
                    <w:t>(N</w:t>
                  </w:r>
                  <w:r>
                    <w:rPr>
                      <w:rFonts w:hint="eastAsia" w:cs="Arial"/>
                      <w:lang w:val="fr-FR" w:eastAsia="zh-CN"/>
                    </w:rPr>
                    <w:t>ote</w:t>
                  </w:r>
                  <w:r>
                    <w:rPr>
                      <w:rFonts w:cs="Arial"/>
                      <w:lang w:val="fr-FR" w:eastAsia="ja-JP"/>
                    </w:rPr>
                    <w:t xml:space="preserve"> </w:t>
                  </w:r>
                  <w:r>
                    <w:rPr>
                      <w:rFonts w:hint="eastAsia" w:cs="Arial"/>
                      <w:lang w:val="fr-FR" w:eastAsia="zh-CN"/>
                    </w:rPr>
                    <w:t>2</w:t>
                  </w:r>
                  <w:r>
                    <w:rPr>
                      <w:rFonts w:cs="Arial"/>
                      <w:lang w:val="fr-FR" w:eastAsia="ja-JP"/>
                    </w:rPr>
                    <w:t>)</w:t>
                  </w:r>
                </w:p>
              </w:tc>
              <w:tc>
                <w:tcPr>
                  <w:tcW w:w="749" w:type="dxa"/>
                  <w:vMerge w:val="restart"/>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DIP set</w:t>
                  </w:r>
                </w:p>
              </w:tc>
              <w:tc>
                <w:tcPr>
                  <w:tcW w:w="1091" w:type="dxa"/>
                  <w:vMerge w:val="restart"/>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FRC</w:t>
                  </w:r>
                </w:p>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(Annex A)</w:t>
                  </w:r>
                </w:p>
              </w:tc>
              <w:tc>
                <w:tcPr>
                  <w:tcW w:w="1176" w:type="dxa"/>
                  <w:vMerge w:val="restart"/>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Fraction of  maximum throughput</w:t>
                  </w:r>
                </w:p>
              </w:tc>
              <w:tc>
                <w:tcPr>
                  <w:tcW w:w="919" w:type="dxa"/>
                  <w:vMerge w:val="restart"/>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S</w:t>
                  </w:r>
                  <w:r>
                    <w:rPr>
                      <w:rFonts w:hint="eastAsia" w:cs="Arial"/>
                      <w:lang w:eastAsia="zh-CN"/>
                    </w:rPr>
                    <w:t>I</w:t>
                  </w:r>
                  <w:r>
                    <w:rPr>
                      <w:rFonts w:cs="Arial"/>
                      <w:lang w:eastAsia="ja-JP"/>
                    </w:rPr>
                    <w:t>NR</w:t>
                  </w:r>
                  <w:r>
                    <w:rPr>
                      <w:rFonts w:hint="eastAsia" w:cs="Arial"/>
                      <w:lang w:eastAsia="zh-CN"/>
                    </w:rPr>
                    <w:t xml:space="preserve"> </w:t>
                  </w:r>
                  <w:r>
                    <w:rPr>
                      <w:rFonts w:cs="Arial"/>
                      <w:lang w:eastAsia="ja-JP"/>
                    </w:rPr>
                    <w:t>[dB] (N</w:t>
                  </w:r>
                  <w:r>
                    <w:rPr>
                      <w:rFonts w:hint="eastAsia" w:cs="Arial"/>
                      <w:lang w:eastAsia="zh-CN"/>
                    </w:rPr>
                    <w:t>ote</w:t>
                  </w:r>
                  <w:r>
                    <w:rPr>
                      <w:rFonts w:cs="Arial"/>
                      <w:lang w:eastAsia="ja-JP"/>
                    </w:rPr>
                    <w:t xml:space="preserve"> </w:t>
                  </w:r>
                  <w:r>
                    <w:rPr>
                      <w:rFonts w:hint="eastAsia" w:cs="Arial"/>
                      <w:lang w:eastAsia="zh-CN"/>
                    </w:rPr>
                    <w:t>3</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1007" w:type="dxa"/>
                  <w:vMerge w:val="continue"/>
                  <w:shd w:val="clear" w:color="auto" w:fill="auto"/>
                </w:tcPr>
                <w:p>
                  <w:pPr>
                    <w:keepNext/>
                    <w:keepLines/>
                    <w:pageBreakBefore w:val="0"/>
                    <w:kinsoku/>
                    <w:wordWrap/>
                    <w:overflowPunct/>
                    <w:topLinePunct w:val="0"/>
                    <w:autoSpaceDE/>
                    <w:autoSpaceDN/>
                    <w:bidi w:val="0"/>
                    <w:adjustRightInd w:val="0"/>
                    <w:snapToGrid w:val="0"/>
                    <w:spacing w:before="20" w:afterLines="0" w:line="240" w:lineRule="auto"/>
                    <w:jc w:val="center"/>
                    <w:textAlignment w:val="auto"/>
                    <w:rPr>
                      <w:rFonts w:ascii="Arial" w:hAnsi="Arial" w:cs="Arial"/>
                      <w:b/>
                      <w:bCs/>
                      <w:sz w:val="18"/>
                      <w:szCs w:val="18"/>
                    </w:rPr>
                  </w:pPr>
                </w:p>
              </w:tc>
              <w:tc>
                <w:tcPr>
                  <w:tcW w:w="1007" w:type="dxa"/>
                  <w:vMerge w:val="continue"/>
                  <w:shd w:val="clear" w:color="auto" w:fill="auto"/>
                </w:tcPr>
                <w:p>
                  <w:pPr>
                    <w:keepNext/>
                    <w:keepLines/>
                    <w:pageBreakBefore w:val="0"/>
                    <w:kinsoku/>
                    <w:wordWrap/>
                    <w:overflowPunct/>
                    <w:topLinePunct w:val="0"/>
                    <w:autoSpaceDE/>
                    <w:autoSpaceDN/>
                    <w:bidi w:val="0"/>
                    <w:adjustRightInd w:val="0"/>
                    <w:snapToGrid w:val="0"/>
                    <w:spacing w:before="20" w:afterLines="0" w:line="240" w:lineRule="auto"/>
                    <w:jc w:val="center"/>
                    <w:textAlignment w:val="auto"/>
                    <w:rPr>
                      <w:rFonts w:ascii="Arial" w:hAnsi="Arial" w:cs="Arial"/>
                      <w:b/>
                      <w:bCs/>
                      <w:sz w:val="18"/>
                      <w:szCs w:val="18"/>
                    </w:rPr>
                  </w:pPr>
                </w:p>
              </w:tc>
              <w:tc>
                <w:tcPr>
                  <w:tcW w:w="1376" w:type="dxa"/>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Tested signal</w:t>
                  </w:r>
                </w:p>
              </w:tc>
              <w:tc>
                <w:tcPr>
                  <w:tcW w:w="1254" w:type="dxa"/>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Interferer 1</w:t>
                  </w:r>
                </w:p>
              </w:tc>
              <w:tc>
                <w:tcPr>
                  <w:tcW w:w="1276" w:type="dxa"/>
                  <w:shd w:val="clear" w:color="auto" w:fill="auto"/>
                </w:tcPr>
                <w:p>
                  <w:pPr>
                    <w:pStyle w:val="64"/>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Interferer 2</w:t>
                  </w:r>
                </w:p>
              </w:tc>
              <w:tc>
                <w:tcPr>
                  <w:tcW w:w="749" w:type="dxa"/>
                  <w:vMerge w:val="continue"/>
                  <w:shd w:val="clear" w:color="auto" w:fill="auto"/>
                </w:tcPr>
                <w:p>
                  <w:pPr>
                    <w:keepNext/>
                    <w:keepLines/>
                    <w:pageBreakBefore w:val="0"/>
                    <w:kinsoku/>
                    <w:wordWrap/>
                    <w:overflowPunct/>
                    <w:topLinePunct w:val="0"/>
                    <w:autoSpaceDE/>
                    <w:autoSpaceDN/>
                    <w:bidi w:val="0"/>
                    <w:adjustRightInd w:val="0"/>
                    <w:snapToGrid w:val="0"/>
                    <w:spacing w:before="20" w:afterLines="0" w:line="240" w:lineRule="auto"/>
                    <w:jc w:val="center"/>
                    <w:textAlignment w:val="auto"/>
                    <w:rPr>
                      <w:rFonts w:ascii="Arial" w:hAnsi="Arial" w:cs="Arial"/>
                      <w:b/>
                      <w:bCs/>
                      <w:sz w:val="18"/>
                      <w:szCs w:val="18"/>
                      <w:lang w:eastAsia="zh-CN"/>
                    </w:rPr>
                  </w:pPr>
                </w:p>
              </w:tc>
              <w:tc>
                <w:tcPr>
                  <w:tcW w:w="1091" w:type="dxa"/>
                  <w:vMerge w:val="continue"/>
                  <w:shd w:val="clear" w:color="auto" w:fill="auto"/>
                </w:tcPr>
                <w:p>
                  <w:pPr>
                    <w:keepNext/>
                    <w:keepLines/>
                    <w:pageBreakBefore w:val="0"/>
                    <w:kinsoku/>
                    <w:wordWrap/>
                    <w:overflowPunct/>
                    <w:topLinePunct w:val="0"/>
                    <w:autoSpaceDE/>
                    <w:autoSpaceDN/>
                    <w:bidi w:val="0"/>
                    <w:adjustRightInd w:val="0"/>
                    <w:snapToGrid w:val="0"/>
                    <w:spacing w:before="20" w:afterLines="0" w:line="240" w:lineRule="auto"/>
                    <w:jc w:val="center"/>
                    <w:textAlignment w:val="auto"/>
                    <w:rPr>
                      <w:rFonts w:ascii="Arial" w:hAnsi="Arial" w:cs="Arial"/>
                      <w:b/>
                      <w:bCs/>
                      <w:sz w:val="18"/>
                      <w:szCs w:val="18"/>
                      <w:lang w:eastAsia="zh-CN"/>
                    </w:rPr>
                  </w:pPr>
                </w:p>
              </w:tc>
              <w:tc>
                <w:tcPr>
                  <w:tcW w:w="1176" w:type="dxa"/>
                  <w:vMerge w:val="continue"/>
                  <w:shd w:val="clear" w:color="auto" w:fill="auto"/>
                </w:tcPr>
                <w:p>
                  <w:pPr>
                    <w:keepNext/>
                    <w:keepLines/>
                    <w:pageBreakBefore w:val="0"/>
                    <w:kinsoku/>
                    <w:wordWrap/>
                    <w:overflowPunct/>
                    <w:topLinePunct w:val="0"/>
                    <w:autoSpaceDE/>
                    <w:autoSpaceDN/>
                    <w:bidi w:val="0"/>
                    <w:adjustRightInd w:val="0"/>
                    <w:snapToGrid w:val="0"/>
                    <w:spacing w:before="20" w:afterLines="0" w:line="240" w:lineRule="auto"/>
                    <w:jc w:val="center"/>
                    <w:textAlignment w:val="auto"/>
                    <w:rPr>
                      <w:rFonts w:ascii="Arial" w:hAnsi="Arial" w:cs="Arial"/>
                      <w:b/>
                      <w:bCs/>
                      <w:sz w:val="18"/>
                      <w:szCs w:val="18"/>
                      <w:lang w:eastAsia="zh-CN"/>
                    </w:rPr>
                  </w:pPr>
                </w:p>
              </w:tc>
              <w:tc>
                <w:tcPr>
                  <w:tcW w:w="919" w:type="dxa"/>
                  <w:vMerge w:val="continue"/>
                  <w:shd w:val="clear" w:color="auto" w:fill="auto"/>
                </w:tcPr>
                <w:p>
                  <w:pPr>
                    <w:keepNext/>
                    <w:keepLines/>
                    <w:pageBreakBefore w:val="0"/>
                    <w:kinsoku/>
                    <w:wordWrap/>
                    <w:overflowPunct/>
                    <w:topLinePunct w:val="0"/>
                    <w:autoSpaceDE/>
                    <w:autoSpaceDN/>
                    <w:bidi w:val="0"/>
                    <w:adjustRightInd w:val="0"/>
                    <w:snapToGrid w:val="0"/>
                    <w:spacing w:before="20" w:afterLines="0" w:line="240" w:lineRule="auto"/>
                    <w:jc w:val="center"/>
                    <w:textAlignment w:val="auto"/>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Merge w:val="restart"/>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1</w:t>
                  </w:r>
                </w:p>
              </w:tc>
              <w:tc>
                <w:tcPr>
                  <w:tcW w:w="1007" w:type="dxa"/>
                  <w:vMerge w:val="restart"/>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2</w:t>
                  </w:r>
                </w:p>
              </w:tc>
              <w:tc>
                <w:tcPr>
                  <w:tcW w:w="13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EPA 5 Low</w:t>
                  </w:r>
                </w:p>
              </w:tc>
              <w:tc>
                <w:tcPr>
                  <w:tcW w:w="1254"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5 Low</w:t>
                  </w:r>
                </w:p>
              </w:tc>
              <w:tc>
                <w:tcPr>
                  <w:tcW w:w="12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N/A</w:t>
                  </w:r>
                </w:p>
              </w:tc>
              <w:tc>
                <w:tcPr>
                  <w:tcW w:w="74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Set 2</w:t>
                  </w:r>
                </w:p>
              </w:tc>
              <w:tc>
                <w:tcPr>
                  <w:tcW w:w="1091"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hint="eastAsia" w:cs="Arial"/>
                      <w:lang w:eastAsia="zh-CN"/>
                    </w:rPr>
                    <w:t>A12-4</w:t>
                  </w:r>
                </w:p>
              </w:tc>
              <w:tc>
                <w:tcPr>
                  <w:tcW w:w="11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70%</w:t>
                  </w:r>
                </w:p>
              </w:tc>
              <w:tc>
                <w:tcPr>
                  <w:tcW w:w="91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 xml:space="preserve">-5.4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3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EVA 70 Low</w:t>
                  </w:r>
                </w:p>
              </w:tc>
              <w:tc>
                <w:tcPr>
                  <w:tcW w:w="1254"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w:t>
                  </w:r>
                  <w:r>
                    <w:rPr>
                      <w:rFonts w:cs="Arial"/>
                      <w:lang w:eastAsia="zh-CN"/>
                    </w:rPr>
                    <w:t>70</w:t>
                  </w:r>
                  <w:r>
                    <w:rPr>
                      <w:rFonts w:cs="Arial"/>
                      <w:lang w:eastAsia="ja-JP"/>
                    </w:rPr>
                    <w:t xml:space="preserve"> Low</w:t>
                  </w:r>
                </w:p>
              </w:tc>
              <w:tc>
                <w:tcPr>
                  <w:tcW w:w="12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N/A</w:t>
                  </w:r>
                </w:p>
              </w:tc>
              <w:tc>
                <w:tcPr>
                  <w:tcW w:w="74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Set 1*</w:t>
                  </w:r>
                </w:p>
              </w:tc>
              <w:tc>
                <w:tcPr>
                  <w:tcW w:w="1091"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hint="eastAsia" w:cs="Arial"/>
                      <w:lang w:eastAsia="zh-CN"/>
                    </w:rPr>
                    <w:t>A12-4</w:t>
                  </w:r>
                </w:p>
              </w:tc>
              <w:tc>
                <w:tcPr>
                  <w:tcW w:w="11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70%</w:t>
                  </w:r>
                </w:p>
              </w:tc>
              <w:tc>
                <w:tcPr>
                  <w:tcW w:w="91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hint="eastAsia" w:cs="Arial"/>
                      <w:lang w:eastAsia="zh-CN"/>
                    </w:rPr>
                    <w:t>-2.7</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007" w:type="dxa"/>
                  <w:vMerge w:val="restart"/>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4</w:t>
                  </w:r>
                </w:p>
              </w:tc>
              <w:tc>
                <w:tcPr>
                  <w:tcW w:w="13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EPA 5 Low</w:t>
                  </w:r>
                </w:p>
              </w:tc>
              <w:tc>
                <w:tcPr>
                  <w:tcW w:w="1254"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5 Low</w:t>
                  </w:r>
                </w:p>
              </w:tc>
              <w:tc>
                <w:tcPr>
                  <w:tcW w:w="12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5 Low</w:t>
                  </w:r>
                </w:p>
              </w:tc>
              <w:tc>
                <w:tcPr>
                  <w:tcW w:w="74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Set 2</w:t>
                  </w:r>
                </w:p>
              </w:tc>
              <w:tc>
                <w:tcPr>
                  <w:tcW w:w="1091"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b/>
                      <w:bCs/>
                      <w:lang w:eastAsia="zh-CN"/>
                    </w:rPr>
                  </w:pPr>
                  <w:r>
                    <w:rPr>
                      <w:rFonts w:hint="eastAsia" w:cs="Arial"/>
                      <w:lang w:eastAsia="zh-CN"/>
                    </w:rPr>
                    <w:t>A13-4</w:t>
                  </w:r>
                </w:p>
              </w:tc>
              <w:tc>
                <w:tcPr>
                  <w:tcW w:w="11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70%</w:t>
                  </w:r>
                </w:p>
              </w:tc>
              <w:tc>
                <w:tcPr>
                  <w:tcW w:w="91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hint="eastAsia" w:cs="Arial"/>
                      <w:lang w:eastAsia="zh-CN"/>
                    </w:rPr>
                    <w:t>-4.2</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3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EVA 70 Low</w:t>
                  </w:r>
                </w:p>
              </w:tc>
              <w:tc>
                <w:tcPr>
                  <w:tcW w:w="1254"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w:t>
                  </w:r>
                  <w:r>
                    <w:rPr>
                      <w:rFonts w:cs="Arial"/>
                      <w:lang w:eastAsia="zh-CN"/>
                    </w:rPr>
                    <w:t>70</w:t>
                  </w:r>
                  <w:r>
                    <w:rPr>
                      <w:rFonts w:cs="Arial"/>
                      <w:lang w:eastAsia="ja-JP"/>
                    </w:rPr>
                    <w:t xml:space="preserve"> Low</w:t>
                  </w:r>
                </w:p>
              </w:tc>
              <w:tc>
                <w:tcPr>
                  <w:tcW w:w="12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w:t>
                  </w:r>
                  <w:r>
                    <w:rPr>
                      <w:rFonts w:cs="Arial"/>
                      <w:lang w:eastAsia="zh-CN"/>
                    </w:rPr>
                    <w:t>70</w:t>
                  </w:r>
                  <w:r>
                    <w:rPr>
                      <w:rFonts w:cs="Arial"/>
                      <w:lang w:eastAsia="ja-JP"/>
                    </w:rPr>
                    <w:t xml:space="preserve"> Low</w:t>
                  </w:r>
                </w:p>
              </w:tc>
              <w:tc>
                <w:tcPr>
                  <w:tcW w:w="74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Set 1*</w:t>
                  </w:r>
                </w:p>
              </w:tc>
              <w:tc>
                <w:tcPr>
                  <w:tcW w:w="1091"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b/>
                      <w:bCs/>
                      <w:lang w:eastAsia="zh-CN"/>
                    </w:rPr>
                  </w:pPr>
                  <w:r>
                    <w:rPr>
                      <w:rFonts w:hint="eastAsia" w:cs="Arial"/>
                      <w:lang w:eastAsia="zh-CN"/>
                    </w:rPr>
                    <w:t>A13-4</w:t>
                  </w:r>
                </w:p>
              </w:tc>
              <w:tc>
                <w:tcPr>
                  <w:tcW w:w="11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70%</w:t>
                  </w:r>
                </w:p>
              </w:tc>
              <w:tc>
                <w:tcPr>
                  <w:tcW w:w="91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hint="eastAsia" w:cs="Arial"/>
                      <w:lang w:eastAsia="zh-CN"/>
                    </w:rPr>
                    <w:t>-0.1</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007" w:type="dxa"/>
                  <w:vMerge w:val="restart"/>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8</w:t>
                  </w:r>
                </w:p>
              </w:tc>
              <w:tc>
                <w:tcPr>
                  <w:tcW w:w="13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EPA 5 Low</w:t>
                  </w:r>
                </w:p>
              </w:tc>
              <w:tc>
                <w:tcPr>
                  <w:tcW w:w="1254"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5 Low</w:t>
                  </w:r>
                </w:p>
              </w:tc>
              <w:tc>
                <w:tcPr>
                  <w:tcW w:w="12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5 Low</w:t>
                  </w:r>
                </w:p>
              </w:tc>
              <w:tc>
                <w:tcPr>
                  <w:tcW w:w="74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Set 2</w:t>
                  </w:r>
                </w:p>
              </w:tc>
              <w:tc>
                <w:tcPr>
                  <w:tcW w:w="1091"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b/>
                      <w:bCs/>
                      <w:lang w:eastAsia="zh-CN"/>
                    </w:rPr>
                  </w:pPr>
                  <w:r>
                    <w:rPr>
                      <w:rFonts w:cs="Arial"/>
                      <w:lang w:eastAsia="zh-CN"/>
                    </w:rPr>
                    <w:t>A4-6</w:t>
                  </w:r>
                </w:p>
              </w:tc>
              <w:tc>
                <w:tcPr>
                  <w:tcW w:w="11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70%</w:t>
                  </w:r>
                </w:p>
              </w:tc>
              <w:tc>
                <w:tcPr>
                  <w:tcW w:w="91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hint="eastAsia" w:cs="Arial"/>
                      <w:lang w:eastAsia="zh-CN"/>
                    </w:rPr>
                    <w:t>-4.5</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007" w:type="dxa"/>
                  <w:vMerge w:val="continue"/>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p>
              </w:tc>
              <w:tc>
                <w:tcPr>
                  <w:tcW w:w="13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EVA 70 Low</w:t>
                  </w:r>
                </w:p>
              </w:tc>
              <w:tc>
                <w:tcPr>
                  <w:tcW w:w="1254"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w:t>
                  </w:r>
                  <w:r>
                    <w:rPr>
                      <w:rFonts w:cs="Arial"/>
                      <w:lang w:eastAsia="zh-CN"/>
                    </w:rPr>
                    <w:t>70</w:t>
                  </w:r>
                  <w:r>
                    <w:rPr>
                      <w:rFonts w:hint="eastAsia" w:cs="Arial"/>
                      <w:lang w:eastAsia="zh-CN"/>
                    </w:rPr>
                    <w:t xml:space="preserve"> </w:t>
                  </w:r>
                  <w:r>
                    <w:rPr>
                      <w:rFonts w:cs="Arial"/>
                      <w:lang w:eastAsia="ja-JP"/>
                    </w:rPr>
                    <w:t>Low</w:t>
                  </w:r>
                </w:p>
              </w:tc>
              <w:tc>
                <w:tcPr>
                  <w:tcW w:w="12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E</w:t>
                  </w:r>
                  <w:r>
                    <w:rPr>
                      <w:rFonts w:cs="Arial"/>
                      <w:lang w:eastAsia="zh-CN"/>
                    </w:rPr>
                    <w:t>TU</w:t>
                  </w:r>
                  <w:r>
                    <w:rPr>
                      <w:rFonts w:cs="Arial"/>
                      <w:lang w:eastAsia="ja-JP"/>
                    </w:rPr>
                    <w:t xml:space="preserve"> </w:t>
                  </w:r>
                  <w:r>
                    <w:rPr>
                      <w:rFonts w:cs="Arial"/>
                      <w:lang w:eastAsia="zh-CN"/>
                    </w:rPr>
                    <w:t>70</w:t>
                  </w:r>
                  <w:r>
                    <w:rPr>
                      <w:rFonts w:cs="Arial"/>
                      <w:lang w:eastAsia="ja-JP"/>
                    </w:rPr>
                    <w:t xml:space="preserve"> Low</w:t>
                  </w:r>
                </w:p>
              </w:tc>
              <w:tc>
                <w:tcPr>
                  <w:tcW w:w="74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zh-CN"/>
                    </w:rPr>
                    <w:t>Set 1*</w:t>
                  </w:r>
                </w:p>
              </w:tc>
              <w:tc>
                <w:tcPr>
                  <w:tcW w:w="1091"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b/>
                      <w:bCs/>
                      <w:lang w:eastAsia="zh-CN"/>
                    </w:rPr>
                  </w:pPr>
                  <w:r>
                    <w:rPr>
                      <w:rFonts w:cs="Arial"/>
                      <w:lang w:eastAsia="zh-CN"/>
                    </w:rPr>
                    <w:t>A4-6</w:t>
                  </w:r>
                  <w:r>
                    <w:rPr>
                      <w:rFonts w:hint="eastAsia" w:cs="Arial"/>
                      <w:lang w:eastAsia="zh-CN"/>
                    </w:rPr>
                    <w:t xml:space="preserve"> </w:t>
                  </w:r>
                </w:p>
              </w:tc>
              <w:tc>
                <w:tcPr>
                  <w:tcW w:w="1176"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70%</w:t>
                  </w:r>
                </w:p>
              </w:tc>
              <w:tc>
                <w:tcPr>
                  <w:tcW w:w="919" w:type="dxa"/>
                  <w:shd w:val="clear" w:color="auto" w:fill="auto"/>
                </w:tcPr>
                <w:p>
                  <w:pPr>
                    <w:pStyle w:val="56"/>
                    <w:pageBreakBefore w:val="0"/>
                    <w:kinsoku/>
                    <w:wordWrap/>
                    <w:overflowPunct/>
                    <w:topLinePunct w:val="0"/>
                    <w:autoSpaceDE/>
                    <w:autoSpaceDN/>
                    <w:bidi w:val="0"/>
                    <w:adjustRightInd w:val="0"/>
                    <w:snapToGrid w:val="0"/>
                    <w:spacing w:afterLines="0" w:line="240" w:lineRule="auto"/>
                    <w:textAlignment w:val="auto"/>
                    <w:rPr>
                      <w:rFonts w:cs="Arial"/>
                      <w:lang w:eastAsia="ja-JP"/>
                    </w:rPr>
                  </w:pPr>
                  <w:r>
                    <w:rPr>
                      <w:rFonts w:cs="Arial"/>
                      <w:lang w:eastAsia="ja-JP"/>
                    </w:rPr>
                    <w:t xml:space="preserve">-0.2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9"/>
                  <w:shd w:val="clear" w:color="auto" w:fill="auto"/>
                </w:tcPr>
                <w:p>
                  <w:pPr>
                    <w:pStyle w:val="69"/>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Note*:</w:t>
                  </w:r>
                  <w:r>
                    <w:rPr>
                      <w:rFonts w:cs="Arial"/>
                      <w:lang w:eastAsia="zh-CN"/>
                    </w:rPr>
                    <w:tab/>
                  </w:r>
                  <w:r>
                    <w:rPr>
                      <w:rFonts w:cs="Arial"/>
                      <w:lang w:eastAsia="zh-CN"/>
                    </w:rPr>
                    <w:t>Not applicable for Local Area BS and Home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9"/>
                  <w:shd w:val="clear" w:color="auto" w:fill="auto"/>
                </w:tcPr>
                <w:p>
                  <w:pPr>
                    <w:pStyle w:val="69"/>
                    <w:pageBreakBefore w:val="0"/>
                    <w:kinsoku/>
                    <w:wordWrap/>
                    <w:overflowPunct/>
                    <w:topLinePunct w:val="0"/>
                    <w:autoSpaceDE/>
                    <w:autoSpaceDN/>
                    <w:bidi w:val="0"/>
                    <w:adjustRightInd w:val="0"/>
                    <w:snapToGrid w:val="0"/>
                    <w:spacing w:afterLines="0" w:line="240" w:lineRule="auto"/>
                    <w:ind w:left="850" w:hanging="850"/>
                    <w:textAlignment w:val="auto"/>
                    <w:rPr>
                      <w:rFonts w:cs="Arial"/>
                      <w:lang w:eastAsia="ja-JP"/>
                    </w:rPr>
                  </w:pPr>
                  <w:r>
                    <w:rPr>
                      <w:rFonts w:cs="Arial"/>
                      <w:lang w:eastAsia="zh-CN"/>
                    </w:rPr>
                    <w:t xml:space="preserve">Note </w:t>
                  </w:r>
                  <w:r>
                    <w:rPr>
                      <w:rFonts w:hint="eastAsia" w:cs="Arial"/>
                      <w:lang w:eastAsia="zh-CN"/>
                    </w:rPr>
                    <w:t>1</w:t>
                  </w:r>
                  <w:r>
                    <w:rPr>
                      <w:rFonts w:cs="Arial"/>
                      <w:lang w:eastAsia="zh-CN"/>
                    </w:rPr>
                    <w:t>:</w:t>
                  </w:r>
                  <w:r>
                    <w:rPr>
                      <w:rFonts w:cs="Arial"/>
                      <w:lang w:eastAsia="zh-CN"/>
                    </w:rPr>
                    <w:tab/>
                  </w:r>
                  <w:r>
                    <w:rPr>
                      <w:rFonts w:cs="Arial"/>
                      <w:lang w:eastAsia="zh-CN"/>
                    </w:rPr>
                    <w:t>A</w:t>
                  </w:r>
                  <w:r>
                    <w:rPr>
                      <w:rFonts w:cs="Arial"/>
                      <w:lang w:eastAsia="ja-JP"/>
                    </w:rPr>
                    <w:t>ntenna configuration appl</w:t>
                  </w:r>
                  <w:r>
                    <w:rPr>
                      <w:rFonts w:hint="eastAsia" w:cs="Arial"/>
                      <w:lang w:eastAsia="zh-CN"/>
                    </w:rPr>
                    <w:t>ies</w:t>
                  </w:r>
                  <w:r>
                    <w:rPr>
                      <w:rFonts w:cs="Arial"/>
                      <w:lang w:eastAsia="ja-JP"/>
                    </w:rPr>
                    <w:t xml:space="preserve"> for each of the tested signal, interferer 1 and interferer 2.</w:t>
                  </w:r>
                </w:p>
                <w:p>
                  <w:pPr>
                    <w:pStyle w:val="69"/>
                    <w:pageBreakBefore w:val="0"/>
                    <w:kinsoku/>
                    <w:wordWrap/>
                    <w:overflowPunct/>
                    <w:topLinePunct w:val="0"/>
                    <w:autoSpaceDE/>
                    <w:autoSpaceDN/>
                    <w:bidi w:val="0"/>
                    <w:adjustRightInd w:val="0"/>
                    <w:snapToGrid w:val="0"/>
                    <w:spacing w:afterLines="0" w:line="240" w:lineRule="auto"/>
                    <w:ind w:left="850" w:hanging="850"/>
                    <w:textAlignment w:val="auto"/>
                    <w:rPr>
                      <w:rFonts w:cs="Arial"/>
                      <w:lang w:eastAsia="zh-CN"/>
                    </w:rPr>
                  </w:pPr>
                  <w:r>
                    <w:rPr>
                      <w:rFonts w:cs="Arial"/>
                      <w:lang w:eastAsia="ja-JP"/>
                    </w:rPr>
                    <w:t>Note 2:</w:t>
                  </w:r>
                  <w:r>
                    <w:rPr>
                      <w:rFonts w:cs="Arial"/>
                      <w:lang w:eastAsia="zh-CN"/>
                    </w:rPr>
                    <w:tab/>
                  </w:r>
                  <w:r>
                    <w:rPr>
                      <w:rFonts w:cs="Arial"/>
                      <w:lang w:eastAsia="zh-CN"/>
                    </w:rPr>
                    <w:t>The propagation conditions for the tested signal, interferer 1 and interferer 2 are statistically independent.</w:t>
                  </w:r>
                </w:p>
                <w:p>
                  <w:pPr>
                    <w:pStyle w:val="69"/>
                    <w:pageBreakBefore w:val="0"/>
                    <w:kinsoku/>
                    <w:wordWrap/>
                    <w:overflowPunct/>
                    <w:topLinePunct w:val="0"/>
                    <w:autoSpaceDE/>
                    <w:autoSpaceDN/>
                    <w:bidi w:val="0"/>
                    <w:adjustRightInd w:val="0"/>
                    <w:snapToGrid w:val="0"/>
                    <w:spacing w:afterLines="0" w:line="240" w:lineRule="auto"/>
                    <w:textAlignment w:val="auto"/>
                    <w:rPr>
                      <w:rFonts w:cs="Arial"/>
                      <w:lang w:eastAsia="zh-CN"/>
                    </w:rPr>
                  </w:pPr>
                  <w:r>
                    <w:rPr>
                      <w:rFonts w:cs="Arial"/>
                      <w:lang w:eastAsia="zh-CN"/>
                    </w:rPr>
                    <w:t>Note 3:</w:t>
                  </w:r>
                  <w:r>
                    <w:rPr>
                      <w:rFonts w:cs="Arial"/>
                      <w:lang w:eastAsia="zh-CN"/>
                    </w:rPr>
                    <w:tab/>
                  </w:r>
                  <w:r>
                    <w:rPr>
                      <w:rFonts w:cs="Arial"/>
                      <w:lang w:eastAsia="zh-CN"/>
                    </w:rPr>
                    <w:t xml:space="preserve">SINR corresponds to </w:t>
                  </w:r>
                  <w:r>
                    <w:rPr>
                      <w:rFonts w:cs="Arial"/>
                      <w:position w:val="-10"/>
                      <w:lang w:eastAsia="ja-JP"/>
                    </w:rPr>
                    <w:object>
                      <v:shape id="_x0000_i1025" o:spt="75" type="#_x0000_t75" style="height:16.4pt;width:21.4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cs="Arial"/>
                      <w:lang w:eastAsia="ja-JP"/>
                    </w:rPr>
                    <w:t xml:space="preserve"> of the tested signal as defined in clause 8.1.</w:t>
                  </w:r>
                </w:p>
              </w:tc>
            </w:tr>
          </w:tbl>
          <w:p>
            <w:pPr>
              <w:pStyle w:val="62"/>
              <w:keepNext w:val="0"/>
              <w:keepLines w:val="0"/>
              <w:pageBreakBefore w:val="0"/>
              <w:widowControl w:val="0"/>
              <w:kinsoku/>
              <w:wordWrap/>
              <w:overflowPunct/>
              <w:topLinePunct w:val="0"/>
              <w:autoSpaceDE/>
              <w:autoSpaceDN/>
              <w:bidi w:val="0"/>
              <w:adjustRightInd w:val="0"/>
              <w:snapToGrid w:val="0"/>
              <w:spacing w:before="120" w:after="180" w:afterLines="0" w:line="240" w:lineRule="auto"/>
              <w:ind w:left="0" w:leftChars="0" w:firstLine="0" w:firstLineChars="0"/>
              <w:textAlignment w:val="auto"/>
              <w:rPr>
                <w:rFonts w:hint="default"/>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lang w:val="en-US" w:eastAsia="zh-CN"/>
        </w:rPr>
      </w:pPr>
      <w:r>
        <w:rPr>
          <w:rFonts w:hint="eastAsia"/>
          <w:lang w:val="en-US" w:eastAsia="zh-CN"/>
        </w:rPr>
        <w:t>Option 1 is preferred between the two options to align with LTE BS MMSE-IRC. Among the 3 options from option 1, it is better to see whether the MMSE-IRC gain over MMSE is obvious. If the gain is not obvious, option 1A is preferred</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Proposal 1. To consider option 1 for BS MMSE-IRC requirements and option 1B is preferred if the MMSE-IRC gain is observed from companies</w:t>
      </w:r>
      <w:r>
        <w:rPr>
          <w:rFonts w:hint="default"/>
          <w:b/>
          <w:bCs/>
          <w:i/>
          <w:iCs/>
          <w:sz w:val="20"/>
          <w:szCs w:val="20"/>
          <w:lang w:val="en-US" w:eastAsia="zh-CN"/>
        </w:rPr>
        <w:t>’</w:t>
      </w:r>
      <w:r>
        <w:rPr>
          <w:rFonts w:hint="eastAsia"/>
          <w:b/>
          <w:bCs/>
          <w:i/>
          <w:iCs/>
          <w:sz w:val="20"/>
          <w:szCs w:val="20"/>
          <w:lang w:val="en-US" w:eastAsia="zh-CN"/>
        </w:rPr>
        <w:t xml:space="preserve"> simulation results</w:t>
      </w:r>
      <w:r>
        <w:rPr>
          <w:rFonts w:hint="eastAsia"/>
          <w:b/>
          <w:bCs/>
          <w:i/>
          <w:iCs/>
          <w:sz w:val="20"/>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lang w:val="en-US" w:eastAsia="zh-CN"/>
        </w:rPr>
      </w:pPr>
      <w:r>
        <w:rPr>
          <w:rFonts w:hint="eastAsia"/>
          <w:lang w:val="en-US" w:eastAsia="zh-CN"/>
        </w:rPr>
        <w:t>With regard to the channel bandwidth, the following options are reached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sz w:val="20"/>
                <w:szCs w:val="20"/>
                <w:u w:val="single"/>
              </w:rPr>
            </w:pPr>
            <w:r>
              <w:rPr>
                <w:b/>
                <w:sz w:val="20"/>
                <w:szCs w:val="20"/>
                <w:u w:val="single"/>
              </w:rPr>
              <w:t>Channel bandwidth</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sz w:val="20"/>
                <w:szCs w:val="20"/>
                <w:lang w:eastAsia="zh-CN"/>
              </w:rPr>
            </w:pPr>
            <w:r>
              <w:rPr>
                <w:rFonts w:hint="eastAsia" w:eastAsia="宋体"/>
                <w:sz w:val="20"/>
                <w:szCs w:val="20"/>
                <w:lang w:eastAsia="zh-CN"/>
              </w:rPr>
              <w:t>Proposals</w:t>
            </w:r>
            <w:r>
              <w:rPr>
                <w:rFonts w:eastAsia="宋体"/>
                <w:sz w:val="20"/>
                <w:szCs w:val="20"/>
                <w:lang w:eastAsia="zh-CN"/>
              </w:rPr>
              <w:t xml:space="preserve"> on the CHBW for requirement definition for CP-OFDM:</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1:</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15kHz SCS, cover 5MHz, 10MHz, 20MHz</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30kHz SCS, cover 10MHz, 20MHz, 40MHz, 100MHz</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2:</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15kHz SCS, cover 5MHz, 10MHz</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30kHz SCS, cover 10MHz, 40MHz</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3: minimum CBW</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15kHz SCS, 5MHz</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30kHz SCS, 10MHz</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4: 5/50MHz BW with 15KHz SCS and 10/100MHz BW with 30KHz SCS</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sz w:val="20"/>
                <w:szCs w:val="20"/>
                <w:lang w:eastAsia="zh-CN"/>
              </w:rPr>
            </w:pPr>
            <w:r>
              <w:rPr>
                <w:rFonts w:hint="eastAsia" w:eastAsia="宋体"/>
                <w:sz w:val="20"/>
                <w:szCs w:val="20"/>
                <w:lang w:eastAsia="zh-CN"/>
              </w:rPr>
              <w:t>Proposals</w:t>
            </w:r>
            <w:r>
              <w:rPr>
                <w:rFonts w:eastAsia="宋体"/>
                <w:sz w:val="20"/>
                <w:szCs w:val="20"/>
                <w:lang w:eastAsia="zh-CN"/>
              </w:rPr>
              <w:t xml:space="preserve"> for DFT-s-OFDM:</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1:</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15kHz SCS, 5MHz</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rFonts w:hint="default"/>
                <w:sz w:val="20"/>
                <w:szCs w:val="20"/>
                <w:vertAlign w:val="baseline"/>
                <w:lang w:val="en-US" w:eastAsia="zh-CN"/>
              </w:rPr>
            </w:pPr>
            <w:r>
              <w:rPr>
                <w:sz w:val="20"/>
                <w:szCs w:val="20"/>
                <w:lang w:eastAsia="zh-CN"/>
              </w:rPr>
              <w:t>For 30kHz SCS, 10MHz</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lang w:val="en-US" w:eastAsia="zh-CN"/>
        </w:rPr>
      </w:pPr>
      <w:r>
        <w:rPr>
          <w:rFonts w:hint="eastAsia"/>
          <w:lang w:val="en-US" w:eastAsia="zh-CN"/>
        </w:rPr>
        <w:t>We provided our simulation results comparing performance between different channel bandwidth[5] from which we can find that the performance between different channel bandwidth is similar.</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 xml:space="preserve">Proposal 2. To consider option 3 for CHBW for requirement definition for CP-OFDM </w:t>
      </w:r>
      <w:r>
        <w:rPr>
          <w:rFonts w:hint="eastAsia"/>
          <w:b/>
          <w:bCs/>
          <w:i/>
          <w:iCs/>
          <w:sz w:val="20"/>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 xml:space="preserve">With regard to MCS, 3 options are identified last meeting to reuse the FRC defined in TS 38104.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Consider the following options for performance evaluation and as candidates for further down-selection:</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    For 2Rx: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  Option 1: MCS 2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cs="Times New Roman"/>
                <w:sz w:val="20"/>
                <w:szCs w:val="20"/>
              </w:rPr>
            </w:pPr>
            <w:r>
              <w:rPr>
                <w:rFonts w:hint="default" w:ascii="Times New Roman" w:hAnsi="Times New Roman" w:cs="Times New Roman"/>
                <w:sz w:val="20"/>
                <w:szCs w:val="20"/>
              </w:rPr>
              <w:t>  Option 2: MCS 16</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    For 4Rx: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cs="Times New Roman"/>
                <w:sz w:val="20"/>
                <w:szCs w:val="20"/>
              </w:rPr>
            </w:pPr>
            <w:r>
              <w:rPr>
                <w:rFonts w:hint="default" w:ascii="Times New Roman" w:hAnsi="Times New Roman" w:cs="Times New Roman"/>
                <w:sz w:val="20"/>
                <w:szCs w:val="20"/>
              </w:rPr>
              <w:t>  Option 1: MCS 16</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    For 8Rx: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cs="Times New Roman"/>
                <w:sz w:val="20"/>
                <w:szCs w:val="20"/>
                <w:lang w:val="fr-FR"/>
              </w:rPr>
            </w:pPr>
            <w:r>
              <w:rPr>
                <w:rFonts w:hint="default" w:ascii="Times New Roman" w:hAnsi="Times New Roman" w:cs="Times New Roman"/>
                <w:sz w:val="20"/>
                <w:szCs w:val="20"/>
              </w:rPr>
              <w:t></w:t>
            </w:r>
            <w:r>
              <w:rPr>
                <w:rFonts w:hint="default" w:ascii="Times New Roman" w:hAnsi="Times New Roman" w:cs="Times New Roman"/>
                <w:sz w:val="20"/>
                <w:szCs w:val="20"/>
                <w:lang w:val="fr-FR"/>
              </w:rPr>
              <w:t>  Option 1: MCS 20</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cs="Times New Roman"/>
                <w:sz w:val="20"/>
                <w:szCs w:val="20"/>
                <w:lang w:val="fr-FR"/>
              </w:rPr>
            </w:pPr>
            <w:r>
              <w:rPr>
                <w:rFonts w:hint="default" w:ascii="Times New Roman" w:hAnsi="Times New Roman" w:cs="Times New Roman"/>
                <w:sz w:val="20"/>
                <w:szCs w:val="20"/>
              </w:rPr>
              <w:t></w:t>
            </w:r>
            <w:r>
              <w:rPr>
                <w:rFonts w:hint="default" w:ascii="Times New Roman" w:hAnsi="Times New Roman" w:cs="Times New Roman"/>
                <w:sz w:val="20"/>
                <w:szCs w:val="20"/>
                <w:lang w:val="fr-FR"/>
              </w:rPr>
              <w:t>  Option 2: MCS 16</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Note: Reuse the same FRC A.3, A.4 and A.5 with </w:t>
            </w:r>
            <w:r>
              <w:rPr>
                <w:rFonts w:hint="default" w:ascii="Times New Roman" w:hAnsi="Times New Roman" w:cs="Times New Roman"/>
                <w:i/>
                <w:sz w:val="20"/>
                <w:szCs w:val="20"/>
              </w:rPr>
              <w:t>Additional DM-RS position</w:t>
            </w:r>
            <w:r>
              <w:rPr>
                <w:rFonts w:hint="default" w:ascii="Times New Roman" w:hAnsi="Times New Roman" w:cs="Times New Roman"/>
                <w:sz w:val="20"/>
                <w:szCs w:val="20"/>
              </w:rPr>
              <w:t xml:space="preserve"> = </w:t>
            </w:r>
            <w:r>
              <w:rPr>
                <w:rFonts w:hint="default" w:ascii="Times New Roman" w:hAnsi="Times New Roman" w:cs="Times New Roman"/>
                <w:i/>
                <w:sz w:val="20"/>
                <w:szCs w:val="20"/>
              </w:rPr>
              <w:t>pos1</w:t>
            </w:r>
            <w:r>
              <w:rPr>
                <w:rFonts w:hint="default" w:ascii="Times New Roman" w:hAnsi="Times New Roman" w:cs="Times New Roman"/>
                <w:sz w:val="20"/>
                <w:szCs w:val="20"/>
              </w:rPr>
              <w:t xml:space="preserve"> and 1 transmission layer defined in TS38.104 for MCS 2, MCS 16 and MCS 20 respectively.</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Check</w:t>
            </w:r>
            <w:r>
              <w:rPr>
                <w:rFonts w:hint="default" w:ascii="Times New Roman" w:hAnsi="Times New Roman" w:cs="Times New Roman" w:eastAsiaTheme="minorEastAsia"/>
                <w:sz w:val="20"/>
                <w:szCs w:val="20"/>
                <w:lang w:val="en-US" w:eastAsia="zh-CN"/>
              </w:rPr>
              <w:t xml:space="preserve"> whether the existing test applicability rule can be reused if different MCS is configured for different Rx configuration.</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The MCSs (MCS2, MCS16, and MCS20) used to define indicators in TS38104 are candidate MCSs for BS MMSE-IRC. From TS 36.104</w:t>
      </w:r>
      <w:r>
        <w:rPr>
          <w:rFonts w:hint="eastAsia"/>
          <w:sz w:val="20"/>
          <w:szCs w:val="20"/>
          <w:vertAlign w:val="superscript"/>
          <w:lang w:val="en-US" w:eastAsia="zh-CN"/>
        </w:rPr>
        <w:t>[4]</w:t>
      </w:r>
      <w:r>
        <w:rPr>
          <w:rFonts w:hint="eastAsia"/>
          <w:sz w:val="20"/>
          <w:szCs w:val="20"/>
          <w:lang w:val="en-US" w:eastAsia="zh-CN"/>
        </w:rPr>
        <w:t xml:space="preserve"> we can find that different MCS is selected for 2Rx/4Rx/8Rx separately. To align with LTE, different Rx choose different MCS, MCS for 2Rx, 4Rx, and 8Rx are MCS 2, MCS16, MCS20.</w:t>
      </w:r>
    </w:p>
    <w:p>
      <w:pPr>
        <w:widowControl w:val="0"/>
        <w:spacing w:beforeLines="100" w:afterLines="0" w:line="240" w:lineRule="auto"/>
        <w:jc w:val="both"/>
        <w:rPr>
          <w:rFonts w:hint="eastAsia"/>
          <w:b/>
          <w:bCs/>
          <w:i/>
          <w:iCs/>
          <w:sz w:val="20"/>
          <w:szCs w:val="20"/>
          <w:lang w:val="en-US" w:eastAsia="zh-CN"/>
        </w:rPr>
      </w:pPr>
      <w:r>
        <w:rPr>
          <w:rFonts w:hint="eastAsia"/>
          <w:b/>
          <w:bCs/>
          <w:i/>
          <w:iCs/>
          <w:sz w:val="20"/>
          <w:szCs w:val="20"/>
          <w:lang w:val="en-US" w:eastAsia="zh-CN"/>
        </w:rPr>
        <w:t>Proposal 3. To consider the following MCSs for performance evaluation:</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 xml:space="preserve">For 2Rx: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cs="Times New Roman"/>
          <w:b/>
          <w:bCs/>
          <w:sz w:val="20"/>
          <w:szCs w:val="20"/>
        </w:rPr>
      </w:pPr>
      <w:r>
        <w:rPr>
          <w:rFonts w:hint="default" w:ascii="Times New Roman" w:hAnsi="Times New Roman" w:eastAsia="宋体" w:cs="Times New Roman"/>
          <w:b/>
          <w:bCs/>
          <w:i/>
          <w:iCs/>
          <w:kern w:val="2"/>
          <w:sz w:val="20"/>
          <w:szCs w:val="20"/>
          <w:lang w:val="en-US" w:eastAsia="zh-CN" w:bidi="ar-SA"/>
        </w:rPr>
        <w:t>Option 1: MCS 2</w:t>
      </w:r>
      <w:r>
        <w:rPr>
          <w:rFonts w:hint="default" w:ascii="Times New Roman" w:hAnsi="Times New Roman" w:cs="Times New Roman"/>
          <w:b/>
          <w:bCs/>
          <w:sz w:val="20"/>
          <w:szCs w:val="20"/>
        </w:rPr>
        <w:t xml:space="preserve">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cs="Times New Roman"/>
          <w:b/>
          <w:bCs/>
          <w:sz w:val="20"/>
          <w:szCs w:val="20"/>
        </w:rPr>
      </w:pPr>
      <w:r>
        <w:rPr>
          <w:rFonts w:hint="default" w:ascii="Times New Roman" w:hAnsi="Times New Roman" w:eastAsia="宋体" w:cs="Times New Roman"/>
          <w:b/>
          <w:bCs/>
          <w:i/>
          <w:iCs/>
          <w:kern w:val="2"/>
          <w:sz w:val="20"/>
          <w:szCs w:val="20"/>
          <w:lang w:val="en-US" w:eastAsia="zh-CN" w:bidi="ar-SA"/>
        </w:rPr>
        <w:t>For 4Rx:</w:t>
      </w:r>
      <w:r>
        <w:rPr>
          <w:rFonts w:hint="default" w:ascii="Times New Roman" w:hAnsi="Times New Roman" w:cs="Times New Roman"/>
          <w:b/>
          <w:bCs/>
          <w:sz w:val="20"/>
          <w:szCs w:val="20"/>
        </w:rPr>
        <w:t xml:space="preserve">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Option 1: MCS 16</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cs="Times New Roman"/>
          <w:b/>
          <w:bCs/>
          <w:sz w:val="20"/>
          <w:szCs w:val="20"/>
        </w:rPr>
      </w:pPr>
      <w:r>
        <w:rPr>
          <w:rFonts w:hint="default" w:ascii="Times New Roman" w:hAnsi="Times New Roman" w:eastAsia="宋体" w:cs="Times New Roman"/>
          <w:b/>
          <w:bCs/>
          <w:i/>
          <w:iCs/>
          <w:kern w:val="2"/>
          <w:sz w:val="20"/>
          <w:szCs w:val="20"/>
          <w:lang w:val="en-US" w:eastAsia="zh-CN" w:bidi="ar-SA"/>
        </w:rPr>
        <w:t>For 8Rx:</w:t>
      </w:r>
      <w:r>
        <w:rPr>
          <w:rFonts w:hint="default" w:ascii="Times New Roman" w:hAnsi="Times New Roman" w:cs="Times New Roman"/>
          <w:b/>
          <w:bCs/>
          <w:sz w:val="20"/>
          <w:szCs w:val="20"/>
        </w:rPr>
        <w:t xml:space="preserve">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b/>
          <w:bCs/>
          <w:sz w:val="20"/>
          <w:szCs w:val="20"/>
          <w:lang w:val="en-US" w:eastAsia="zh-CN"/>
        </w:rPr>
      </w:pPr>
      <w:r>
        <w:rPr>
          <w:rFonts w:hint="default" w:ascii="Times New Roman" w:hAnsi="Times New Roman" w:eastAsia="宋体" w:cs="Times New Roman"/>
          <w:b/>
          <w:bCs/>
          <w:i/>
          <w:iCs/>
          <w:kern w:val="2"/>
          <w:sz w:val="20"/>
          <w:szCs w:val="20"/>
          <w:lang w:val="fr-FR" w:eastAsia="zh-CN" w:bidi="ar-SA"/>
        </w:rPr>
        <w:t>Option 1: MCS 20</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The following is copied from TS38.141-2 8.1.2:</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default"/>
          <w:i/>
          <w:iCs/>
          <w:sz w:val="20"/>
          <w:szCs w:val="20"/>
          <w:lang w:val="en-US" w:eastAsia="zh-CN"/>
        </w:rPr>
        <w:t>“Unless otherwise stated, for a BS supporting different numbers of antenna connectors (for BS type 1-C) or TAB connectors (for BS type 1-H) (see D.37 in table 4.6-1), the tests with low MIMO correlation level shall apply only for the lowest and highest numbers of supported connectors, and the specific connectors used for testing are based on manufacturer declaration.”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If different MCS is applied for different Rx and if the lowest and highest numbers of supported connectors are to be tested, maybe the 4Rx with MCS 16 will not be tested. As pointed out by other companies, the requirement definition of BS MMSE-IRC is to verify whether the receiver has the processing capability of MMSE-IRC. If the receiver requirements of the maximum and minimum Rx configurations pass the test, it is reasonable to believe that MMSE-IRC with other antenna configurations can also work well even if different MCSs are configured.</w:t>
      </w:r>
    </w:p>
    <w:p>
      <w:pPr>
        <w:widowControl w:val="0"/>
        <w:spacing w:beforeLines="100" w:afterLines="0" w:line="240" w:lineRule="auto"/>
        <w:jc w:val="both"/>
        <w:rPr>
          <w:rFonts w:hint="default"/>
          <w:sz w:val="20"/>
          <w:szCs w:val="20"/>
          <w:lang w:val="en-US" w:eastAsia="zh-CN"/>
        </w:rPr>
      </w:pPr>
      <w:r>
        <w:rPr>
          <w:rFonts w:hint="eastAsia"/>
          <w:b/>
          <w:bCs/>
          <w:i/>
          <w:iCs/>
          <w:sz w:val="20"/>
          <w:szCs w:val="20"/>
          <w:lang w:val="en-US" w:eastAsia="zh-CN"/>
        </w:rPr>
        <w:t>Proposal 4. To consider applicability rule when different Rx with different MCS requirement are involved.</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sz w:val="20"/>
          <w:szCs w:val="20"/>
          <w:lang w:val="en-US" w:eastAsia="zh-CN"/>
        </w:rPr>
        <w:t>With regard to propagation condition, the following options are reached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topLinePunct w:val="0"/>
              <w:autoSpaceDE/>
              <w:autoSpaceDN/>
              <w:bidi w:val="0"/>
              <w:adjustRightInd w:val="0"/>
              <w:snapToGrid w:val="0"/>
              <w:spacing w:after="180" w:afterLines="0" w:line="240" w:lineRule="auto"/>
              <w:textAlignment w:val="auto"/>
              <w:rPr>
                <w:rFonts w:hint="default" w:ascii="Times New Roman" w:hAnsi="Times New Roman" w:cs="Times New Roman"/>
                <w:b/>
                <w:sz w:val="20"/>
                <w:szCs w:val="20"/>
                <w:u w:val="single"/>
                <w:lang w:val="en-US"/>
              </w:rPr>
            </w:pPr>
            <w:r>
              <w:rPr>
                <w:rFonts w:hint="default" w:ascii="Times New Roman" w:hAnsi="Times New Roman" w:cs="Times New Roman"/>
                <w:b/>
                <w:sz w:val="20"/>
                <w:szCs w:val="20"/>
                <w:u w:val="single"/>
                <w:lang w:val="en-US"/>
              </w:rPr>
              <w:t>Propagation condition</w:t>
            </w:r>
          </w:p>
          <w:p>
            <w:pPr>
              <w:keepNext w:val="0"/>
              <w:keepLines w:val="0"/>
              <w:pageBreakBefore w:val="0"/>
              <w:widowControl/>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sz w:val="20"/>
                <w:szCs w:val="20"/>
              </w:rPr>
            </w:pPr>
            <w:r>
              <w:rPr>
                <w:rFonts w:hint="default" w:ascii="Times New Roman" w:hAnsi="Times New Roman" w:cs="Times New Roman"/>
                <w:sz w:val="20"/>
                <w:szCs w:val="20"/>
              </w:rPr>
              <w:t>–    For serving cell, consider the following options for performance evaluation and as candidates for further down-selection:</w:t>
            </w:r>
          </w:p>
          <w:p>
            <w:pPr>
              <w:pStyle w:val="33"/>
              <w:keepNext w:val="0"/>
              <w:keepLines w:val="0"/>
              <w:pageBreakBefore w:val="0"/>
              <w:widowControl/>
              <w:kinsoku/>
              <w:wordWrap/>
              <w:overflowPunct/>
              <w:topLinePunct w:val="0"/>
              <w:autoSpaceDE/>
              <w:autoSpaceDN/>
              <w:bidi w:val="0"/>
              <w:adjustRightInd w:val="0"/>
              <w:snapToGrid w:val="0"/>
              <w:spacing w:before="60" w:after="180" w:afterLines="0" w:line="240" w:lineRule="auto"/>
              <w:ind w:left="493" w:leftChars="235" w:firstLine="400"/>
              <w:textAlignment w:val="auto"/>
              <w:rPr>
                <w:rFonts w:hint="default" w:ascii="Times New Roman" w:hAnsi="Times New Roman" w:cs="Times New Roman"/>
                <w:sz w:val="20"/>
                <w:szCs w:val="20"/>
              </w:rPr>
            </w:pPr>
            <w:r>
              <w:rPr>
                <w:rFonts w:hint="default" w:ascii="Times New Roman" w:hAnsi="Times New Roman" w:cs="Times New Roman"/>
                <w:sz w:val="20"/>
                <w:szCs w:val="20"/>
              </w:rPr>
              <w:t>o    Option 1: TDLA30-10 HetNet and TDLB100-400 for HomNet</w:t>
            </w:r>
          </w:p>
          <w:p>
            <w:pPr>
              <w:pStyle w:val="33"/>
              <w:keepNext w:val="0"/>
              <w:keepLines w:val="0"/>
              <w:pageBreakBefore w:val="0"/>
              <w:widowControl/>
              <w:kinsoku/>
              <w:wordWrap/>
              <w:overflowPunct/>
              <w:topLinePunct w:val="0"/>
              <w:autoSpaceDE/>
              <w:autoSpaceDN/>
              <w:bidi w:val="0"/>
              <w:adjustRightInd w:val="0"/>
              <w:snapToGrid w:val="0"/>
              <w:spacing w:before="60" w:after="180" w:afterLines="0" w:line="240" w:lineRule="auto"/>
              <w:ind w:left="493" w:leftChars="235" w:firstLine="400"/>
              <w:textAlignment w:val="auto"/>
              <w:rPr>
                <w:rFonts w:hint="default" w:ascii="Times New Roman" w:hAnsi="Times New Roman" w:cs="Times New Roman"/>
                <w:sz w:val="20"/>
                <w:szCs w:val="20"/>
              </w:rPr>
            </w:pPr>
            <w:r>
              <w:rPr>
                <w:rFonts w:hint="default" w:ascii="Times New Roman" w:hAnsi="Times New Roman" w:cs="Times New Roman"/>
                <w:sz w:val="20"/>
                <w:szCs w:val="20"/>
              </w:rPr>
              <w:t>o    Option 2: Consider different channel for different MCS</w:t>
            </w:r>
          </w:p>
          <w:p>
            <w:pPr>
              <w:pStyle w:val="33"/>
              <w:keepNext w:val="0"/>
              <w:keepLines w:val="0"/>
              <w:pageBreakBefore w:val="0"/>
              <w:widowControl/>
              <w:kinsoku/>
              <w:wordWrap/>
              <w:overflowPunct/>
              <w:topLinePunct w:val="0"/>
              <w:autoSpaceDE/>
              <w:autoSpaceDN/>
              <w:bidi w:val="0"/>
              <w:adjustRightInd w:val="0"/>
              <w:snapToGrid w:val="0"/>
              <w:spacing w:before="60" w:after="180" w:afterLines="0" w:line="240" w:lineRule="auto"/>
              <w:ind w:left="1088" w:leftChars="518" w:firstLine="400"/>
              <w:textAlignment w:val="auto"/>
              <w:rPr>
                <w:rFonts w:hint="default" w:ascii="Times New Roman" w:hAnsi="Times New Roman" w:cs="Times New Roman"/>
                <w:sz w:val="20"/>
                <w:szCs w:val="20"/>
              </w:rPr>
            </w:pPr>
            <w:r>
              <w:rPr>
                <w:rFonts w:hint="default" w:ascii="Times New Roman" w:hAnsi="Times New Roman" w:cs="Times New Roman"/>
                <w:sz w:val="20"/>
                <w:szCs w:val="20"/>
              </w:rPr>
              <w:t>  Option 2A: MCS 2 with TDLB100-400, MCS 16 with TDLC300-100, MCS 20 with TDLA30-10</w:t>
            </w:r>
          </w:p>
          <w:p>
            <w:pPr>
              <w:keepNext w:val="0"/>
              <w:keepLines w:val="0"/>
              <w:pageBreakBefore w:val="0"/>
              <w:widowControl/>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For the interference cell, use TDLC300-100.</w:t>
            </w:r>
          </w:p>
        </w:tc>
      </w:tr>
    </w:tbl>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default"/>
          <w:sz w:val="20"/>
          <w:szCs w:val="20"/>
          <w:lang w:val="en-US" w:eastAsia="zh-CN"/>
        </w:rPr>
      </w:pPr>
      <w:r>
        <w:rPr>
          <w:rFonts w:hint="default"/>
          <w:sz w:val="20"/>
          <w:szCs w:val="20"/>
          <w:lang w:val="en-US" w:eastAsia="zh-CN"/>
        </w:rPr>
        <w:t>If multiple MCSs are determined for performance requirement, it is preferred to select different channel model for different MCS.</w:t>
      </w:r>
      <w:r>
        <w:rPr>
          <w:rFonts w:hint="eastAsia"/>
          <w:sz w:val="20"/>
          <w:szCs w:val="20"/>
          <w:lang w:val="en-US" w:eastAsia="zh-CN"/>
        </w:rPr>
        <w:t xml:space="preserve"> From LTE 36104 we can find that different channels are selected for HetNet and HomNet, one of table is copied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18"/>
                <w:szCs w:val="18"/>
                <w:lang w:eastAsia="zh-CN"/>
              </w:rPr>
            </w:pPr>
            <w:r>
              <w:rPr>
                <w:rFonts w:hint="eastAsia"/>
                <w:sz w:val="18"/>
                <w:szCs w:val="18"/>
                <w:lang w:val="en-US" w:eastAsia="zh-CN"/>
              </w:rPr>
              <w:t xml:space="preserve">[36104] </w:t>
            </w:r>
            <w:r>
              <w:rPr>
                <w:rFonts w:hint="default" w:ascii="Times New Roman" w:hAnsi="Times New Roman" w:cs="Times New Roman"/>
                <w:sz w:val="18"/>
                <w:szCs w:val="18"/>
              </w:rPr>
              <w:t>Table 8.2.6.1-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 xml:space="preserve"> Enhanced </w:t>
            </w:r>
            <w:r>
              <w:rPr>
                <w:rFonts w:hint="default" w:ascii="Times New Roman" w:hAnsi="Times New Roman" w:cs="Times New Roman"/>
                <w:sz w:val="18"/>
                <w:szCs w:val="18"/>
                <w:lang w:eastAsia="zh-CN"/>
              </w:rPr>
              <w:t>p</w:t>
            </w:r>
            <w:r>
              <w:rPr>
                <w:rFonts w:hint="default" w:ascii="Times New Roman" w:hAnsi="Times New Roman" w:cs="Times New Roman"/>
                <w:sz w:val="18"/>
                <w:szCs w:val="18"/>
              </w:rPr>
              <w:t xml:space="preserve">erformance </w:t>
            </w:r>
            <w:r>
              <w:rPr>
                <w:rFonts w:hint="default" w:ascii="Times New Roman" w:hAnsi="Times New Roman" w:cs="Times New Roman"/>
                <w:sz w:val="18"/>
                <w:szCs w:val="18"/>
                <w:lang w:eastAsia="zh-CN"/>
              </w:rPr>
              <w:t>r</w:t>
            </w:r>
            <w:r>
              <w:rPr>
                <w:rFonts w:hint="default" w:ascii="Times New Roman" w:hAnsi="Times New Roman" w:cs="Times New Roman"/>
                <w:sz w:val="18"/>
                <w:szCs w:val="18"/>
              </w:rPr>
              <w:t xml:space="preserve">equirement </w:t>
            </w:r>
            <w:r>
              <w:rPr>
                <w:rFonts w:hint="default" w:ascii="Times New Roman" w:hAnsi="Times New Roman" w:cs="Times New Roman"/>
                <w:sz w:val="18"/>
                <w:szCs w:val="18"/>
                <w:lang w:eastAsia="zh-CN"/>
              </w:rPr>
              <w:t>t</w:t>
            </w:r>
            <w:r>
              <w:rPr>
                <w:rFonts w:hint="default" w:ascii="Times New Roman" w:hAnsi="Times New Roman" w:cs="Times New Roman"/>
                <w:sz w:val="18"/>
                <w:szCs w:val="18"/>
              </w:rPr>
              <w:t xml:space="preserve">ype </w:t>
            </w:r>
            <w:r>
              <w:rPr>
                <w:rFonts w:hint="default" w:ascii="Times New Roman" w:hAnsi="Times New Roman" w:cs="Times New Roman"/>
                <w:sz w:val="18"/>
                <w:szCs w:val="18"/>
                <w:lang w:eastAsia="zh-CN"/>
              </w:rPr>
              <w:t>A</w:t>
            </w:r>
            <w:r>
              <w:rPr>
                <w:rFonts w:hint="default" w:ascii="Times New Roman" w:hAnsi="Times New Roman" w:cs="Times New Roman"/>
                <w:sz w:val="18"/>
                <w:szCs w:val="18"/>
              </w:rPr>
              <w:t xml:space="preserve"> for PUSCH, </w:t>
            </w:r>
            <w:r>
              <w:rPr>
                <w:rFonts w:hint="default" w:ascii="Times New Roman" w:hAnsi="Times New Roman" w:cs="Times New Roman"/>
                <w:sz w:val="18"/>
                <w:szCs w:val="18"/>
                <w:lang w:eastAsia="zh-CN"/>
              </w:rPr>
              <w:t>10</w:t>
            </w:r>
            <w:r>
              <w:rPr>
                <w:rFonts w:hint="default" w:ascii="Times New Roman" w:hAnsi="Times New Roman" w:cs="Times New Roman"/>
                <w:sz w:val="18"/>
                <w:szCs w:val="18"/>
              </w:rPr>
              <w:t xml:space="preserve"> MHz Channel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4"/>
              <w:gridCol w:w="1373"/>
              <w:gridCol w:w="1216"/>
              <w:gridCol w:w="1240"/>
              <w:gridCol w:w="776"/>
              <w:gridCol w:w="1016"/>
              <w:gridCol w:w="1248"/>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1003" w:type="dxa"/>
                  <w:vMerge w:val="restart"/>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 xml:space="preserve">Number of </w:t>
                  </w:r>
                  <w:r>
                    <w:rPr>
                      <w:rFonts w:hint="default" w:ascii="Times New Roman" w:hAnsi="Times New Roman" w:cs="Times New Roman"/>
                      <w:sz w:val="18"/>
                      <w:szCs w:val="18"/>
                      <w:lang w:eastAsia="zh-CN"/>
                    </w:rPr>
                    <w:t>T</w:t>
                  </w:r>
                  <w:r>
                    <w:rPr>
                      <w:rFonts w:hint="default" w:ascii="Times New Roman" w:hAnsi="Times New Roman" w:cs="Times New Roman"/>
                      <w:sz w:val="18"/>
                      <w:szCs w:val="18"/>
                      <w:lang w:eastAsia="ja-JP"/>
                    </w:rPr>
                    <w:t>X antennas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lang w:eastAsia="ja-JP"/>
                    </w:rPr>
                    <w:t>(N</w:t>
                  </w:r>
                  <w:r>
                    <w:rPr>
                      <w:rFonts w:hint="default" w:ascii="Times New Roman" w:hAnsi="Times New Roman" w:cs="Times New Roman"/>
                      <w:sz w:val="18"/>
                      <w:szCs w:val="18"/>
                      <w:lang w:eastAsia="zh-CN"/>
                    </w:rPr>
                    <w:t>ote</w:t>
                  </w:r>
                  <w:r>
                    <w:rPr>
                      <w:rFonts w:hint="default" w:ascii="Times New Roman" w:hAnsi="Times New Roman" w:cs="Times New Roman"/>
                      <w:sz w:val="18"/>
                      <w:szCs w:val="18"/>
                      <w:lang w:eastAsia="ja-JP"/>
                    </w:rPr>
                    <w:t xml:space="preserve"> </w:t>
                  </w:r>
                  <w:r>
                    <w:rPr>
                      <w:rFonts w:hint="default" w:ascii="Times New Roman" w:hAnsi="Times New Roman" w:cs="Times New Roman"/>
                      <w:sz w:val="18"/>
                      <w:szCs w:val="18"/>
                      <w:lang w:eastAsia="zh-CN"/>
                    </w:rPr>
                    <w:t>1</w:t>
                  </w:r>
                  <w:r>
                    <w:rPr>
                      <w:rFonts w:hint="default" w:ascii="Times New Roman" w:hAnsi="Times New Roman" w:cs="Times New Roman"/>
                      <w:sz w:val="18"/>
                      <w:szCs w:val="18"/>
                      <w:lang w:eastAsia="ja-JP"/>
                    </w:rPr>
                    <w:t>)</w:t>
                  </w:r>
                </w:p>
              </w:tc>
              <w:tc>
                <w:tcPr>
                  <w:tcW w:w="1004" w:type="dxa"/>
                  <w:vMerge w:val="restart"/>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ja-JP"/>
                    </w:rPr>
                    <w:t>Number of RX antennas</w:t>
                  </w:r>
                  <w:r>
                    <w:rPr>
                      <w:rFonts w:hint="default" w:ascii="Times New Roman" w:hAnsi="Times New Roman" w:cs="Times New Roman"/>
                      <w:sz w:val="18"/>
                      <w:szCs w:val="18"/>
                      <w:lang w:eastAsia="zh-CN"/>
                    </w:rPr>
                    <w:t xml:space="preserve"> (Note 1)</w:t>
                  </w:r>
                </w:p>
              </w:tc>
              <w:tc>
                <w:tcPr>
                  <w:tcW w:w="3829" w:type="dxa"/>
                  <w:gridSpan w:val="3"/>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val="fr-FR" w:eastAsia="zh-CN"/>
                    </w:rPr>
                  </w:pPr>
                  <w:r>
                    <w:rPr>
                      <w:rFonts w:hint="default" w:ascii="Times New Roman" w:hAnsi="Times New Roman" w:cs="Times New Roman"/>
                      <w:sz w:val="18"/>
                      <w:szCs w:val="18"/>
                      <w:lang w:val="fr-FR" w:eastAsia="zh-CN"/>
                    </w:rPr>
                    <w:t xml:space="preserve">Propagation conditions and correlation matrix (Annex B) </w:t>
                  </w:r>
                  <w:r>
                    <w:rPr>
                      <w:rFonts w:hint="default" w:ascii="Times New Roman" w:hAnsi="Times New Roman" w:cs="Times New Roman"/>
                      <w:sz w:val="18"/>
                      <w:szCs w:val="18"/>
                      <w:lang w:val="fr-FR" w:eastAsia="ja-JP"/>
                    </w:rPr>
                    <w:t>(N</w:t>
                  </w:r>
                  <w:r>
                    <w:rPr>
                      <w:rFonts w:hint="default" w:ascii="Times New Roman" w:hAnsi="Times New Roman" w:cs="Times New Roman"/>
                      <w:sz w:val="18"/>
                      <w:szCs w:val="18"/>
                      <w:lang w:val="fr-FR" w:eastAsia="zh-CN"/>
                    </w:rPr>
                    <w:t>ote</w:t>
                  </w:r>
                  <w:r>
                    <w:rPr>
                      <w:rFonts w:hint="default" w:ascii="Times New Roman" w:hAnsi="Times New Roman" w:cs="Times New Roman"/>
                      <w:sz w:val="18"/>
                      <w:szCs w:val="18"/>
                      <w:lang w:val="fr-FR" w:eastAsia="ja-JP"/>
                    </w:rPr>
                    <w:t xml:space="preserve"> </w:t>
                  </w:r>
                  <w:r>
                    <w:rPr>
                      <w:rFonts w:hint="default" w:ascii="Times New Roman" w:hAnsi="Times New Roman" w:cs="Times New Roman"/>
                      <w:sz w:val="18"/>
                      <w:szCs w:val="18"/>
                      <w:lang w:val="fr-FR" w:eastAsia="zh-CN"/>
                    </w:rPr>
                    <w:t>2</w:t>
                  </w:r>
                  <w:r>
                    <w:rPr>
                      <w:rFonts w:hint="default" w:ascii="Times New Roman" w:hAnsi="Times New Roman" w:cs="Times New Roman"/>
                      <w:sz w:val="18"/>
                      <w:szCs w:val="18"/>
                      <w:lang w:val="fr-FR" w:eastAsia="ja-JP"/>
                    </w:rPr>
                    <w:t>)</w:t>
                  </w:r>
                </w:p>
              </w:tc>
              <w:tc>
                <w:tcPr>
                  <w:tcW w:w="776" w:type="dxa"/>
                  <w:vMerge w:val="restart"/>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DIP set</w:t>
                  </w:r>
                </w:p>
              </w:tc>
              <w:tc>
                <w:tcPr>
                  <w:tcW w:w="1016" w:type="dxa"/>
                  <w:vMerge w:val="restart"/>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FRC</w:t>
                  </w:r>
                </w:p>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(Annex A)</w:t>
                  </w:r>
                </w:p>
              </w:tc>
              <w:tc>
                <w:tcPr>
                  <w:tcW w:w="1248" w:type="dxa"/>
                  <w:vMerge w:val="restart"/>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Fraction of  maximum throughput</w:t>
                  </w:r>
                </w:p>
              </w:tc>
              <w:tc>
                <w:tcPr>
                  <w:tcW w:w="774" w:type="dxa"/>
                  <w:vMerge w:val="restart"/>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w:t>
                  </w:r>
                  <w:r>
                    <w:rPr>
                      <w:rFonts w:hint="default" w:ascii="Times New Roman" w:hAnsi="Times New Roman" w:cs="Times New Roman"/>
                      <w:sz w:val="18"/>
                      <w:szCs w:val="18"/>
                      <w:lang w:eastAsia="zh-CN"/>
                    </w:rPr>
                    <w:t>I</w:t>
                  </w:r>
                  <w:r>
                    <w:rPr>
                      <w:rFonts w:hint="default" w:ascii="Times New Roman" w:hAnsi="Times New Roman" w:cs="Times New Roman"/>
                      <w:sz w:val="18"/>
                      <w:szCs w:val="18"/>
                      <w:lang w:eastAsia="ja-JP"/>
                    </w:rPr>
                    <w:t>NR</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lang w:eastAsia="ja-JP"/>
                    </w:rPr>
                    <w:t>[dB] (N</w:t>
                  </w:r>
                  <w:r>
                    <w:rPr>
                      <w:rFonts w:hint="default" w:ascii="Times New Roman" w:hAnsi="Times New Roman" w:cs="Times New Roman"/>
                      <w:sz w:val="18"/>
                      <w:szCs w:val="18"/>
                      <w:lang w:eastAsia="zh-CN"/>
                    </w:rPr>
                    <w:t>ote</w:t>
                  </w:r>
                  <w:r>
                    <w:rPr>
                      <w:rFonts w:hint="default" w:ascii="Times New Roman" w:hAnsi="Times New Roman" w:cs="Times New Roman"/>
                      <w:sz w:val="18"/>
                      <w:szCs w:val="18"/>
                      <w:lang w:eastAsia="ja-JP"/>
                    </w:rPr>
                    <w:t xml:space="preserve"> </w:t>
                  </w:r>
                  <w:r>
                    <w:rPr>
                      <w:rFonts w:hint="default" w:ascii="Times New Roman" w:hAnsi="Times New Roman" w:cs="Times New Roman"/>
                      <w:sz w:val="18"/>
                      <w:szCs w:val="18"/>
                      <w:lang w:eastAsia="zh-CN"/>
                    </w:rPr>
                    <w:t>3</w:t>
                  </w:r>
                  <w:r>
                    <w:rPr>
                      <w:rFonts w:hint="default" w:ascii="Times New Roman" w:hAnsi="Times New Roman" w:cs="Times New Roman"/>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1003" w:type="dxa"/>
                  <w:vMerge w:val="continue"/>
                  <w:shd w:val="clear" w:color="auto" w:fill="auto"/>
                </w:tcPr>
                <w:p>
                  <w:pPr>
                    <w:keepNext/>
                    <w:keepLines/>
                    <w:pageBreakBefore w:val="0"/>
                    <w:widowControl/>
                    <w:kinsoku/>
                    <w:wordWrap/>
                    <w:overflowPunct/>
                    <w:topLinePunct w:val="0"/>
                    <w:autoSpaceDE/>
                    <w:autoSpaceDN/>
                    <w:bidi w:val="0"/>
                    <w:adjustRightInd w:val="0"/>
                    <w:snapToGrid w:val="0"/>
                    <w:spacing w:before="20" w:after="20" w:line="240" w:lineRule="auto"/>
                    <w:ind w:firstLine="0"/>
                    <w:jc w:val="center"/>
                    <w:textAlignment w:val="auto"/>
                    <w:rPr>
                      <w:rFonts w:hint="default" w:ascii="Times New Roman" w:hAnsi="Times New Roman" w:cs="Times New Roman"/>
                      <w:b/>
                      <w:bCs/>
                      <w:sz w:val="18"/>
                      <w:szCs w:val="18"/>
                    </w:rPr>
                  </w:pPr>
                </w:p>
              </w:tc>
              <w:tc>
                <w:tcPr>
                  <w:tcW w:w="1004" w:type="dxa"/>
                  <w:vMerge w:val="continue"/>
                  <w:shd w:val="clear" w:color="auto" w:fill="auto"/>
                </w:tcPr>
                <w:p>
                  <w:pPr>
                    <w:keepNext/>
                    <w:keepLines/>
                    <w:pageBreakBefore w:val="0"/>
                    <w:widowControl/>
                    <w:kinsoku/>
                    <w:wordWrap/>
                    <w:overflowPunct/>
                    <w:topLinePunct w:val="0"/>
                    <w:autoSpaceDE/>
                    <w:autoSpaceDN/>
                    <w:bidi w:val="0"/>
                    <w:adjustRightInd w:val="0"/>
                    <w:snapToGrid w:val="0"/>
                    <w:spacing w:before="20" w:after="20" w:line="240" w:lineRule="auto"/>
                    <w:ind w:firstLine="0"/>
                    <w:jc w:val="center"/>
                    <w:textAlignment w:val="auto"/>
                    <w:rPr>
                      <w:rFonts w:hint="default" w:ascii="Times New Roman" w:hAnsi="Times New Roman" w:cs="Times New Roman"/>
                      <w:b/>
                      <w:bCs/>
                      <w:sz w:val="18"/>
                      <w:szCs w:val="18"/>
                    </w:rPr>
                  </w:pPr>
                </w:p>
              </w:tc>
              <w:tc>
                <w:tcPr>
                  <w:tcW w:w="1373" w:type="dxa"/>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Tested signal</w:t>
                  </w:r>
                </w:p>
              </w:tc>
              <w:tc>
                <w:tcPr>
                  <w:tcW w:w="1216" w:type="dxa"/>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Interferer 1</w:t>
                  </w:r>
                </w:p>
              </w:tc>
              <w:tc>
                <w:tcPr>
                  <w:tcW w:w="1240" w:type="dxa"/>
                  <w:shd w:val="clear" w:color="auto" w:fill="auto"/>
                </w:tcPr>
                <w:p>
                  <w:pPr>
                    <w:pStyle w:val="64"/>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Interferer 2</w:t>
                  </w:r>
                </w:p>
              </w:tc>
              <w:tc>
                <w:tcPr>
                  <w:tcW w:w="776" w:type="dxa"/>
                  <w:vMerge w:val="continue"/>
                  <w:shd w:val="clear" w:color="auto" w:fill="auto"/>
                </w:tcPr>
                <w:p>
                  <w:pPr>
                    <w:keepNext/>
                    <w:keepLines/>
                    <w:pageBreakBefore w:val="0"/>
                    <w:widowControl/>
                    <w:kinsoku/>
                    <w:wordWrap/>
                    <w:overflowPunct/>
                    <w:topLinePunct w:val="0"/>
                    <w:autoSpaceDE/>
                    <w:autoSpaceDN/>
                    <w:bidi w:val="0"/>
                    <w:adjustRightInd w:val="0"/>
                    <w:snapToGrid w:val="0"/>
                    <w:spacing w:before="20" w:after="20" w:line="240" w:lineRule="auto"/>
                    <w:ind w:firstLine="0"/>
                    <w:jc w:val="center"/>
                    <w:textAlignment w:val="auto"/>
                    <w:rPr>
                      <w:rFonts w:hint="default" w:ascii="Times New Roman" w:hAnsi="Times New Roman" w:cs="Times New Roman"/>
                      <w:b/>
                      <w:bCs/>
                      <w:sz w:val="18"/>
                      <w:szCs w:val="18"/>
                      <w:lang w:eastAsia="zh-CN"/>
                    </w:rPr>
                  </w:pPr>
                </w:p>
              </w:tc>
              <w:tc>
                <w:tcPr>
                  <w:tcW w:w="1016" w:type="dxa"/>
                  <w:vMerge w:val="continue"/>
                  <w:shd w:val="clear" w:color="auto" w:fill="auto"/>
                </w:tcPr>
                <w:p>
                  <w:pPr>
                    <w:keepNext/>
                    <w:keepLines/>
                    <w:pageBreakBefore w:val="0"/>
                    <w:widowControl/>
                    <w:kinsoku/>
                    <w:wordWrap/>
                    <w:overflowPunct/>
                    <w:topLinePunct w:val="0"/>
                    <w:autoSpaceDE/>
                    <w:autoSpaceDN/>
                    <w:bidi w:val="0"/>
                    <w:adjustRightInd w:val="0"/>
                    <w:snapToGrid w:val="0"/>
                    <w:spacing w:before="20" w:after="20" w:line="240" w:lineRule="auto"/>
                    <w:ind w:firstLine="0"/>
                    <w:jc w:val="center"/>
                    <w:textAlignment w:val="auto"/>
                    <w:rPr>
                      <w:rFonts w:hint="default" w:ascii="Times New Roman" w:hAnsi="Times New Roman" w:cs="Times New Roman"/>
                      <w:b/>
                      <w:bCs/>
                      <w:sz w:val="18"/>
                      <w:szCs w:val="18"/>
                      <w:lang w:eastAsia="zh-CN"/>
                    </w:rPr>
                  </w:pPr>
                </w:p>
              </w:tc>
              <w:tc>
                <w:tcPr>
                  <w:tcW w:w="1248" w:type="dxa"/>
                  <w:vMerge w:val="continue"/>
                  <w:shd w:val="clear" w:color="auto" w:fill="auto"/>
                </w:tcPr>
                <w:p>
                  <w:pPr>
                    <w:keepNext/>
                    <w:keepLines/>
                    <w:pageBreakBefore w:val="0"/>
                    <w:widowControl/>
                    <w:kinsoku/>
                    <w:wordWrap/>
                    <w:overflowPunct/>
                    <w:topLinePunct w:val="0"/>
                    <w:autoSpaceDE/>
                    <w:autoSpaceDN/>
                    <w:bidi w:val="0"/>
                    <w:adjustRightInd w:val="0"/>
                    <w:snapToGrid w:val="0"/>
                    <w:spacing w:before="20" w:after="20" w:line="240" w:lineRule="auto"/>
                    <w:ind w:firstLine="0"/>
                    <w:jc w:val="center"/>
                    <w:textAlignment w:val="auto"/>
                    <w:rPr>
                      <w:rFonts w:hint="default" w:ascii="Times New Roman" w:hAnsi="Times New Roman" w:cs="Times New Roman"/>
                      <w:b/>
                      <w:bCs/>
                      <w:sz w:val="18"/>
                      <w:szCs w:val="18"/>
                      <w:lang w:eastAsia="zh-CN"/>
                    </w:rPr>
                  </w:pPr>
                </w:p>
              </w:tc>
              <w:tc>
                <w:tcPr>
                  <w:tcW w:w="774" w:type="dxa"/>
                  <w:vMerge w:val="continue"/>
                  <w:shd w:val="clear" w:color="auto" w:fill="auto"/>
                </w:tcPr>
                <w:p>
                  <w:pPr>
                    <w:keepNext/>
                    <w:keepLines/>
                    <w:pageBreakBefore w:val="0"/>
                    <w:widowControl/>
                    <w:kinsoku/>
                    <w:wordWrap/>
                    <w:overflowPunct/>
                    <w:topLinePunct w:val="0"/>
                    <w:autoSpaceDE/>
                    <w:autoSpaceDN/>
                    <w:bidi w:val="0"/>
                    <w:adjustRightInd w:val="0"/>
                    <w:snapToGrid w:val="0"/>
                    <w:spacing w:before="20" w:after="20" w:line="240" w:lineRule="auto"/>
                    <w:ind w:firstLine="0"/>
                    <w:jc w:val="center"/>
                    <w:textAlignment w:val="auto"/>
                    <w:rPr>
                      <w:rFonts w:hint="default" w:ascii="Times New Roman" w:hAns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 w:type="dxa"/>
                  <w:vMerge w:val="restart"/>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w:t>
                  </w:r>
                </w:p>
              </w:tc>
              <w:tc>
                <w:tcPr>
                  <w:tcW w:w="1004" w:type="dxa"/>
                  <w:vMerge w:val="restart"/>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2</w:t>
                  </w:r>
                </w:p>
              </w:tc>
              <w:tc>
                <w:tcPr>
                  <w:tcW w:w="1373"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EPA 5 Low</w:t>
                  </w:r>
                </w:p>
              </w:tc>
              <w:tc>
                <w:tcPr>
                  <w:tcW w:w="12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5 Low</w:t>
                  </w:r>
                </w:p>
              </w:tc>
              <w:tc>
                <w:tcPr>
                  <w:tcW w:w="1240"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N/A</w:t>
                  </w:r>
                </w:p>
              </w:tc>
              <w:tc>
                <w:tcPr>
                  <w:tcW w:w="77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Set 2</w:t>
                  </w:r>
                </w:p>
              </w:tc>
              <w:tc>
                <w:tcPr>
                  <w:tcW w:w="10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A12-4</w:t>
                  </w:r>
                </w:p>
              </w:tc>
              <w:tc>
                <w:tcPr>
                  <w:tcW w:w="1248"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70%</w:t>
                  </w:r>
                </w:p>
              </w:tc>
              <w:tc>
                <w:tcPr>
                  <w:tcW w:w="774"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 xml:space="preserve">-5.4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004"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373"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EVA 70 Low</w:t>
                  </w:r>
                </w:p>
              </w:tc>
              <w:tc>
                <w:tcPr>
                  <w:tcW w:w="12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w:t>
                  </w:r>
                  <w:r>
                    <w:rPr>
                      <w:rFonts w:hint="default" w:ascii="Times New Roman" w:hAnsi="Times New Roman" w:cs="Times New Roman"/>
                      <w:sz w:val="18"/>
                      <w:szCs w:val="18"/>
                      <w:lang w:eastAsia="zh-CN"/>
                    </w:rPr>
                    <w:t>70</w:t>
                  </w:r>
                  <w:r>
                    <w:rPr>
                      <w:rFonts w:hint="default" w:ascii="Times New Roman" w:hAnsi="Times New Roman" w:cs="Times New Roman"/>
                      <w:sz w:val="18"/>
                      <w:szCs w:val="18"/>
                      <w:lang w:eastAsia="ja-JP"/>
                    </w:rPr>
                    <w:t xml:space="preserve"> Low</w:t>
                  </w:r>
                </w:p>
              </w:tc>
              <w:tc>
                <w:tcPr>
                  <w:tcW w:w="1240"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N/A</w:t>
                  </w:r>
                </w:p>
              </w:tc>
              <w:tc>
                <w:tcPr>
                  <w:tcW w:w="77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Set 1*</w:t>
                  </w:r>
                </w:p>
              </w:tc>
              <w:tc>
                <w:tcPr>
                  <w:tcW w:w="10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A12-4</w:t>
                  </w:r>
                </w:p>
              </w:tc>
              <w:tc>
                <w:tcPr>
                  <w:tcW w:w="1248"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70%</w:t>
                  </w:r>
                </w:p>
              </w:tc>
              <w:tc>
                <w:tcPr>
                  <w:tcW w:w="774"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-2.7</w:t>
                  </w:r>
                  <w:r>
                    <w:rPr>
                      <w:rFonts w:hint="default" w:ascii="Times New Roman" w:hAnsi="Times New Roman" w:cs="Times New Roman"/>
                      <w:sz w:val="18"/>
                      <w:szCs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004" w:type="dxa"/>
                  <w:vMerge w:val="restart"/>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4</w:t>
                  </w:r>
                </w:p>
              </w:tc>
              <w:tc>
                <w:tcPr>
                  <w:tcW w:w="1373"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EPA 5 Low</w:t>
                  </w:r>
                </w:p>
              </w:tc>
              <w:tc>
                <w:tcPr>
                  <w:tcW w:w="12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5 Low</w:t>
                  </w:r>
                </w:p>
              </w:tc>
              <w:tc>
                <w:tcPr>
                  <w:tcW w:w="1240"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5 Low</w:t>
                  </w:r>
                </w:p>
              </w:tc>
              <w:tc>
                <w:tcPr>
                  <w:tcW w:w="77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Set 2</w:t>
                  </w:r>
                </w:p>
              </w:tc>
              <w:tc>
                <w:tcPr>
                  <w:tcW w:w="10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b/>
                      <w:bCs/>
                      <w:sz w:val="18"/>
                      <w:szCs w:val="18"/>
                      <w:lang w:eastAsia="zh-CN"/>
                    </w:rPr>
                  </w:pPr>
                  <w:r>
                    <w:rPr>
                      <w:rFonts w:hint="default" w:ascii="Times New Roman" w:hAnsi="Times New Roman" w:cs="Times New Roman"/>
                      <w:sz w:val="18"/>
                      <w:szCs w:val="18"/>
                      <w:lang w:eastAsia="zh-CN"/>
                    </w:rPr>
                    <w:t>A13-4</w:t>
                  </w:r>
                </w:p>
              </w:tc>
              <w:tc>
                <w:tcPr>
                  <w:tcW w:w="1248"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70%</w:t>
                  </w:r>
                </w:p>
              </w:tc>
              <w:tc>
                <w:tcPr>
                  <w:tcW w:w="774"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-4.2</w:t>
                  </w:r>
                  <w:r>
                    <w:rPr>
                      <w:rFonts w:hint="default" w:ascii="Times New Roman" w:hAnsi="Times New Roman" w:cs="Times New Roman"/>
                      <w:sz w:val="18"/>
                      <w:szCs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004"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373"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EVA 70 Low</w:t>
                  </w:r>
                </w:p>
              </w:tc>
              <w:tc>
                <w:tcPr>
                  <w:tcW w:w="12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w:t>
                  </w:r>
                  <w:r>
                    <w:rPr>
                      <w:rFonts w:hint="default" w:ascii="Times New Roman" w:hAnsi="Times New Roman" w:cs="Times New Roman"/>
                      <w:sz w:val="18"/>
                      <w:szCs w:val="18"/>
                      <w:lang w:eastAsia="zh-CN"/>
                    </w:rPr>
                    <w:t>70</w:t>
                  </w:r>
                  <w:r>
                    <w:rPr>
                      <w:rFonts w:hint="default" w:ascii="Times New Roman" w:hAnsi="Times New Roman" w:cs="Times New Roman"/>
                      <w:sz w:val="18"/>
                      <w:szCs w:val="18"/>
                      <w:lang w:eastAsia="ja-JP"/>
                    </w:rPr>
                    <w:t xml:space="preserve"> Low</w:t>
                  </w:r>
                </w:p>
              </w:tc>
              <w:tc>
                <w:tcPr>
                  <w:tcW w:w="1240"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w:t>
                  </w:r>
                  <w:r>
                    <w:rPr>
                      <w:rFonts w:hint="default" w:ascii="Times New Roman" w:hAnsi="Times New Roman" w:cs="Times New Roman"/>
                      <w:sz w:val="18"/>
                      <w:szCs w:val="18"/>
                      <w:lang w:eastAsia="zh-CN"/>
                    </w:rPr>
                    <w:t>70</w:t>
                  </w:r>
                  <w:r>
                    <w:rPr>
                      <w:rFonts w:hint="default" w:ascii="Times New Roman" w:hAnsi="Times New Roman" w:cs="Times New Roman"/>
                      <w:sz w:val="18"/>
                      <w:szCs w:val="18"/>
                      <w:lang w:eastAsia="ja-JP"/>
                    </w:rPr>
                    <w:t xml:space="preserve"> Low</w:t>
                  </w:r>
                </w:p>
              </w:tc>
              <w:tc>
                <w:tcPr>
                  <w:tcW w:w="77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Set 1*</w:t>
                  </w:r>
                </w:p>
              </w:tc>
              <w:tc>
                <w:tcPr>
                  <w:tcW w:w="10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b/>
                      <w:bCs/>
                      <w:sz w:val="18"/>
                      <w:szCs w:val="18"/>
                      <w:lang w:eastAsia="zh-CN"/>
                    </w:rPr>
                  </w:pPr>
                  <w:r>
                    <w:rPr>
                      <w:rFonts w:hint="default" w:ascii="Times New Roman" w:hAnsi="Times New Roman" w:cs="Times New Roman"/>
                      <w:sz w:val="18"/>
                      <w:szCs w:val="18"/>
                      <w:lang w:eastAsia="zh-CN"/>
                    </w:rPr>
                    <w:t>A13-4</w:t>
                  </w:r>
                </w:p>
              </w:tc>
              <w:tc>
                <w:tcPr>
                  <w:tcW w:w="1248"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70%</w:t>
                  </w:r>
                </w:p>
              </w:tc>
              <w:tc>
                <w:tcPr>
                  <w:tcW w:w="774"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-0.1</w:t>
                  </w:r>
                  <w:r>
                    <w:rPr>
                      <w:rFonts w:hint="default" w:ascii="Times New Roman" w:hAnsi="Times New Roman" w:cs="Times New Roman"/>
                      <w:sz w:val="18"/>
                      <w:szCs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004" w:type="dxa"/>
                  <w:vMerge w:val="restart"/>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8</w:t>
                  </w:r>
                </w:p>
              </w:tc>
              <w:tc>
                <w:tcPr>
                  <w:tcW w:w="1373"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EPA 5 Low</w:t>
                  </w:r>
                </w:p>
              </w:tc>
              <w:tc>
                <w:tcPr>
                  <w:tcW w:w="12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5 Low</w:t>
                  </w:r>
                </w:p>
              </w:tc>
              <w:tc>
                <w:tcPr>
                  <w:tcW w:w="1240"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5 Low</w:t>
                  </w:r>
                </w:p>
              </w:tc>
              <w:tc>
                <w:tcPr>
                  <w:tcW w:w="77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Set 2</w:t>
                  </w:r>
                </w:p>
              </w:tc>
              <w:tc>
                <w:tcPr>
                  <w:tcW w:w="10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b/>
                      <w:bCs/>
                      <w:sz w:val="18"/>
                      <w:szCs w:val="18"/>
                      <w:lang w:eastAsia="zh-CN"/>
                    </w:rPr>
                  </w:pPr>
                  <w:r>
                    <w:rPr>
                      <w:rFonts w:hint="default" w:ascii="Times New Roman" w:hAnsi="Times New Roman" w:cs="Times New Roman"/>
                      <w:sz w:val="18"/>
                      <w:szCs w:val="18"/>
                      <w:lang w:eastAsia="zh-CN"/>
                    </w:rPr>
                    <w:t>A4-6</w:t>
                  </w:r>
                </w:p>
              </w:tc>
              <w:tc>
                <w:tcPr>
                  <w:tcW w:w="1248"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70%</w:t>
                  </w:r>
                </w:p>
              </w:tc>
              <w:tc>
                <w:tcPr>
                  <w:tcW w:w="774"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-4.5</w:t>
                  </w:r>
                  <w:r>
                    <w:rPr>
                      <w:rFonts w:hint="default" w:ascii="Times New Roman" w:hAnsi="Times New Roman" w:cs="Times New Roman"/>
                      <w:sz w:val="18"/>
                      <w:szCs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004" w:type="dxa"/>
                  <w:vMerge w:val="continue"/>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p>
              </w:tc>
              <w:tc>
                <w:tcPr>
                  <w:tcW w:w="1373"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EVA 70 Low</w:t>
                  </w:r>
                </w:p>
              </w:tc>
              <w:tc>
                <w:tcPr>
                  <w:tcW w:w="12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w:t>
                  </w:r>
                  <w:r>
                    <w:rPr>
                      <w:rFonts w:hint="default" w:ascii="Times New Roman" w:hAnsi="Times New Roman" w:cs="Times New Roman"/>
                      <w:sz w:val="18"/>
                      <w:szCs w:val="18"/>
                      <w:lang w:eastAsia="zh-CN"/>
                    </w:rPr>
                    <w:t xml:space="preserve">70 </w:t>
                  </w:r>
                  <w:r>
                    <w:rPr>
                      <w:rFonts w:hint="default" w:ascii="Times New Roman" w:hAnsi="Times New Roman" w:cs="Times New Roman"/>
                      <w:sz w:val="18"/>
                      <w:szCs w:val="18"/>
                      <w:lang w:eastAsia="ja-JP"/>
                    </w:rPr>
                    <w:t>Low</w:t>
                  </w:r>
                </w:p>
              </w:tc>
              <w:tc>
                <w:tcPr>
                  <w:tcW w:w="1240"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E</w:t>
                  </w:r>
                  <w:r>
                    <w:rPr>
                      <w:rFonts w:hint="default" w:ascii="Times New Roman" w:hAnsi="Times New Roman" w:cs="Times New Roman"/>
                      <w:sz w:val="18"/>
                      <w:szCs w:val="18"/>
                      <w:lang w:eastAsia="zh-CN"/>
                    </w:rPr>
                    <w:t>TU</w:t>
                  </w:r>
                  <w:r>
                    <w:rPr>
                      <w:rFonts w:hint="default" w:ascii="Times New Roman" w:hAnsi="Times New Roman" w:cs="Times New Roman"/>
                      <w:sz w:val="18"/>
                      <w:szCs w:val="18"/>
                      <w:lang w:eastAsia="ja-JP"/>
                    </w:rPr>
                    <w:t xml:space="preserve"> </w:t>
                  </w:r>
                  <w:r>
                    <w:rPr>
                      <w:rFonts w:hint="default" w:ascii="Times New Roman" w:hAnsi="Times New Roman" w:cs="Times New Roman"/>
                      <w:sz w:val="18"/>
                      <w:szCs w:val="18"/>
                      <w:lang w:eastAsia="zh-CN"/>
                    </w:rPr>
                    <w:t>70</w:t>
                  </w:r>
                  <w:r>
                    <w:rPr>
                      <w:rFonts w:hint="default" w:ascii="Times New Roman" w:hAnsi="Times New Roman" w:cs="Times New Roman"/>
                      <w:sz w:val="18"/>
                      <w:szCs w:val="18"/>
                      <w:lang w:eastAsia="ja-JP"/>
                    </w:rPr>
                    <w:t xml:space="preserve"> Low</w:t>
                  </w:r>
                </w:p>
              </w:tc>
              <w:tc>
                <w:tcPr>
                  <w:tcW w:w="77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Set 1*</w:t>
                  </w:r>
                </w:p>
              </w:tc>
              <w:tc>
                <w:tcPr>
                  <w:tcW w:w="1016"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b/>
                      <w:bCs/>
                      <w:sz w:val="18"/>
                      <w:szCs w:val="18"/>
                      <w:lang w:eastAsia="zh-CN"/>
                    </w:rPr>
                  </w:pPr>
                  <w:r>
                    <w:rPr>
                      <w:rFonts w:hint="default" w:ascii="Times New Roman" w:hAnsi="Times New Roman" w:cs="Times New Roman"/>
                      <w:sz w:val="18"/>
                      <w:szCs w:val="18"/>
                      <w:lang w:eastAsia="zh-CN"/>
                    </w:rPr>
                    <w:t xml:space="preserve">A4-6 </w:t>
                  </w:r>
                </w:p>
              </w:tc>
              <w:tc>
                <w:tcPr>
                  <w:tcW w:w="1248"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70%</w:t>
                  </w:r>
                </w:p>
              </w:tc>
              <w:tc>
                <w:tcPr>
                  <w:tcW w:w="774" w:type="dxa"/>
                  <w:shd w:val="clear" w:color="auto" w:fill="auto"/>
                </w:tcPr>
                <w:p>
                  <w:pPr>
                    <w:pStyle w:val="56"/>
                    <w:keepNext/>
                    <w:keepLines/>
                    <w:pageBreakBefore w:val="0"/>
                    <w:widowControl/>
                    <w:kinsoku/>
                    <w:wordWrap/>
                    <w:overflowPunct/>
                    <w:topLinePunct w:val="0"/>
                    <w:autoSpaceDE/>
                    <w:autoSpaceDN/>
                    <w:bidi w:val="0"/>
                    <w:adjustRightInd w:val="0"/>
                    <w:snapToGrid w:val="0"/>
                    <w:spacing w:line="240" w:lineRule="auto"/>
                    <w:ind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 xml:space="preserve">-0.2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gridSpan w:val="9"/>
                  <w:shd w:val="clear" w:color="auto" w:fill="auto"/>
                </w:tcPr>
                <w:p>
                  <w:pPr>
                    <w:pStyle w:val="69"/>
                    <w:keepNext/>
                    <w:keepLines/>
                    <w:pageBreakBefore w:val="0"/>
                    <w:widowControl/>
                    <w:kinsoku/>
                    <w:wordWrap/>
                    <w:overflowPunct/>
                    <w:topLinePunct w:val="0"/>
                    <w:autoSpaceDE/>
                    <w:autoSpaceDN/>
                    <w:bidi w:val="0"/>
                    <w:adjustRightInd w:val="0"/>
                    <w:snapToGrid w:val="0"/>
                    <w:spacing w:beforeLines="0" w:afterLines="0" w:line="240" w:lineRule="auto"/>
                    <w:ind w:left="0"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Note*:</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Not applicable for Local Area BS and Home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gridSpan w:val="9"/>
                  <w:shd w:val="clear" w:color="auto" w:fill="auto"/>
                </w:tcPr>
                <w:p>
                  <w:pPr>
                    <w:pStyle w:val="69"/>
                    <w:keepNext/>
                    <w:keepLines/>
                    <w:pageBreakBefore w:val="0"/>
                    <w:widowControl/>
                    <w:kinsoku/>
                    <w:wordWrap/>
                    <w:overflowPunct/>
                    <w:topLinePunct w:val="0"/>
                    <w:autoSpaceDE/>
                    <w:autoSpaceDN/>
                    <w:bidi w:val="0"/>
                    <w:adjustRightInd w:val="0"/>
                    <w:snapToGrid w:val="0"/>
                    <w:spacing w:afterLines="0" w:line="240" w:lineRule="auto"/>
                    <w:ind w:left="850" w:firstLine="0"/>
                    <w:textAlignment w:val="auto"/>
                    <w:rPr>
                      <w:rFonts w:hint="default" w:ascii="Times New Roman" w:hAnsi="Times New Roman" w:cs="Times New Roman"/>
                      <w:sz w:val="18"/>
                      <w:szCs w:val="18"/>
                      <w:lang w:eastAsia="ja-JP"/>
                    </w:rPr>
                  </w:pPr>
                  <w:r>
                    <w:rPr>
                      <w:rFonts w:hint="default" w:ascii="Times New Roman" w:hAnsi="Times New Roman" w:cs="Times New Roman"/>
                      <w:sz w:val="18"/>
                      <w:szCs w:val="18"/>
                      <w:lang w:eastAsia="zh-CN"/>
                    </w:rPr>
                    <w:t>Note 1:</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A</w:t>
                  </w:r>
                  <w:r>
                    <w:rPr>
                      <w:rFonts w:hint="default" w:ascii="Times New Roman" w:hAnsi="Times New Roman" w:cs="Times New Roman"/>
                      <w:sz w:val="18"/>
                      <w:szCs w:val="18"/>
                      <w:lang w:eastAsia="ja-JP"/>
                    </w:rPr>
                    <w:t>ntenna configuration appl</w:t>
                  </w:r>
                  <w:r>
                    <w:rPr>
                      <w:rFonts w:hint="default" w:ascii="Times New Roman" w:hAnsi="Times New Roman" w:cs="Times New Roman"/>
                      <w:sz w:val="18"/>
                      <w:szCs w:val="18"/>
                      <w:lang w:eastAsia="zh-CN"/>
                    </w:rPr>
                    <w:t>ies</w:t>
                  </w:r>
                  <w:r>
                    <w:rPr>
                      <w:rFonts w:hint="default" w:ascii="Times New Roman" w:hAnsi="Times New Roman" w:cs="Times New Roman"/>
                      <w:sz w:val="18"/>
                      <w:szCs w:val="18"/>
                      <w:lang w:eastAsia="ja-JP"/>
                    </w:rPr>
                    <w:t xml:space="preserve"> for each of the tested signal, interferer 1 and interferer 2.</w:t>
                  </w:r>
                </w:p>
                <w:p>
                  <w:pPr>
                    <w:pStyle w:val="69"/>
                    <w:keepNext/>
                    <w:keepLines/>
                    <w:pageBreakBefore w:val="0"/>
                    <w:widowControl/>
                    <w:kinsoku/>
                    <w:wordWrap/>
                    <w:overflowPunct/>
                    <w:topLinePunct w:val="0"/>
                    <w:autoSpaceDE/>
                    <w:autoSpaceDN/>
                    <w:bidi w:val="0"/>
                    <w:adjustRightInd w:val="0"/>
                    <w:snapToGrid w:val="0"/>
                    <w:spacing w:afterLines="0" w:line="240" w:lineRule="auto"/>
                    <w:ind w:left="850"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ja-JP"/>
                    </w:rPr>
                    <w:t>Note 2:</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The propagation conditions for the tested signal, interferer 1 and interferer 2 are statistically independent.</w:t>
                  </w:r>
                </w:p>
                <w:p>
                  <w:pPr>
                    <w:pStyle w:val="69"/>
                    <w:keepNext/>
                    <w:keepLines/>
                    <w:pageBreakBefore w:val="0"/>
                    <w:widowControl/>
                    <w:kinsoku/>
                    <w:wordWrap/>
                    <w:overflowPunct/>
                    <w:topLinePunct w:val="0"/>
                    <w:autoSpaceDE/>
                    <w:autoSpaceDN/>
                    <w:bidi w:val="0"/>
                    <w:adjustRightInd w:val="0"/>
                    <w:snapToGrid w:val="0"/>
                    <w:spacing w:afterLines="0" w:line="240" w:lineRule="auto"/>
                    <w:ind w:firstLine="0"/>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Note 3:</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 xml:space="preserve">SINR corresponds to </w:t>
                  </w:r>
                  <w:r>
                    <w:rPr>
                      <w:rFonts w:hint="default" w:ascii="Times New Roman" w:hAnsi="Times New Roman" w:cs="Times New Roman"/>
                      <w:position w:val="-10"/>
                      <w:sz w:val="18"/>
                      <w:szCs w:val="18"/>
                      <w:lang w:eastAsia="ja-JP"/>
                    </w:rPr>
                    <w:object>
                      <v:shape id="_x0000_i1026" o:spt="75" type="#_x0000_t75" style="height:16.4pt;width:21.4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4">
                        <o:LockedField>false</o:LockedField>
                      </o:OLEObject>
                    </w:object>
                  </w:r>
                  <w:r>
                    <w:rPr>
                      <w:rFonts w:hint="default" w:ascii="Times New Roman" w:hAnsi="Times New Roman" w:cs="Times New Roman"/>
                      <w:sz w:val="18"/>
                      <w:szCs w:val="18"/>
                      <w:lang w:eastAsia="ja-JP"/>
                    </w:rPr>
                    <w:t xml:space="preserve"> of the tested signal as defined in clause 8.1.</w:t>
                  </w:r>
                </w:p>
              </w:tc>
            </w:tr>
          </w:tbl>
          <w:p>
            <w:pPr>
              <w:pStyle w:val="62"/>
              <w:keepNext w:val="0"/>
              <w:keepLines w:val="0"/>
              <w:pageBreakBefore w:val="0"/>
              <w:widowControl w:val="0"/>
              <w:kinsoku/>
              <w:wordWrap/>
              <w:overflowPunct/>
              <w:topLinePunct w:val="0"/>
              <w:autoSpaceDE/>
              <w:autoSpaceDN/>
              <w:bidi w:val="0"/>
              <w:adjustRightInd w:val="0"/>
              <w:snapToGrid w:val="0"/>
              <w:spacing w:before="120" w:after="120" w:line="240" w:lineRule="auto"/>
              <w:ind w:left="0" w:leftChars="0" w:firstLine="0" w:firstLineChars="0"/>
              <w:textAlignment w:val="auto"/>
              <w:rPr>
                <w:rFonts w:hint="default" w:ascii="Times New Roman" w:hAnsi="Times New Roman" w:cs="Times New Roman"/>
                <w:sz w:val="18"/>
                <w:szCs w:val="18"/>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sz w:val="20"/>
          <w:szCs w:val="20"/>
          <w:lang w:val="en-US" w:eastAsia="zh-CN"/>
        </w:rPr>
        <w:t>From the table above, we can see that the channel model for different Rx configuration under the same scenario(HomNet or HetNet) are the same. So option 1 is preferred for channel model of serving cell.</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default"/>
          <w:sz w:val="20"/>
          <w:szCs w:val="20"/>
          <w:lang w:val="en-US" w:eastAsia="zh-CN"/>
        </w:rPr>
      </w:pPr>
      <w:r>
        <w:rPr>
          <w:rFonts w:hint="eastAsia"/>
          <w:b/>
          <w:bCs/>
          <w:i/>
          <w:iCs/>
          <w:sz w:val="20"/>
          <w:szCs w:val="20"/>
          <w:lang w:val="en-US" w:eastAsia="zh-CN"/>
        </w:rPr>
        <w:t>Proposal 5. To consider option 1 for channel model of serving cell.</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sz w:val="20"/>
          <w:szCs w:val="20"/>
          <w:lang w:val="en-US" w:eastAsia="zh-CN"/>
        </w:rPr>
        <w:t>With regard to waveform, it is pointed by company that DFT-s-OFDM is rare in the real deployment. If DFT-s-OFDM is rarely used in real deployment we can only define performance requirements for CP-OFDM.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u w:val="single"/>
              </w:rPr>
            </w:pPr>
            <w:r>
              <w:rPr>
                <w:b/>
                <w:u w:val="single"/>
              </w:rPr>
              <w:t>Waveform – whether to cover DFT-s-OFDM</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lang w:eastAsia="zh-CN"/>
              </w:rPr>
            </w:pPr>
            <w:r>
              <w:rPr>
                <w:rFonts w:eastAsia="宋体"/>
                <w:lang w:eastAsia="zh-CN"/>
              </w:rPr>
              <w:t>Candidate options:</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lang w:eastAsia="zh-CN"/>
              </w:rPr>
            </w:pPr>
            <w:r>
              <w:rPr>
                <w:lang w:eastAsia="zh-CN"/>
              </w:rPr>
              <w:t>Option 1: Cover both CP-OFDM and DFT-s-OFDM waveform</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sz w:val="20"/>
                <w:szCs w:val="20"/>
                <w:vertAlign w:val="baseline"/>
                <w:lang w:val="en-US" w:eastAsia="zh-CN"/>
              </w:rPr>
            </w:pPr>
            <w:r>
              <w:rPr>
                <w:rFonts w:hint="eastAsia"/>
                <w:lang w:eastAsia="zh-CN"/>
              </w:rPr>
              <w:t>O</w:t>
            </w:r>
            <w:r>
              <w:rPr>
                <w:lang w:eastAsia="zh-CN"/>
              </w:rPr>
              <w:t>ption 2: Cover CP-OFDM only</w:t>
            </w:r>
          </w:p>
        </w:tc>
      </w:tr>
    </w:tbl>
    <w:p>
      <w:pPr>
        <w:widowControl w:val="0"/>
        <w:spacing w:beforeLines="100" w:afterLines="0" w:line="240" w:lineRule="auto"/>
        <w:jc w:val="both"/>
        <w:rPr>
          <w:rFonts w:hint="eastAsia" w:cs="Times New Roman"/>
          <w:kern w:val="2"/>
          <w:sz w:val="20"/>
          <w:szCs w:val="20"/>
          <w:lang w:val="en-US" w:eastAsia="zh-CN" w:bidi="ar-SA"/>
        </w:rPr>
      </w:pPr>
      <w:r>
        <w:rPr>
          <w:rFonts w:hint="eastAsia"/>
          <w:b/>
          <w:bCs/>
          <w:i/>
          <w:iCs/>
          <w:sz w:val="20"/>
          <w:szCs w:val="20"/>
          <w:lang w:val="en-US" w:eastAsia="zh-CN"/>
        </w:rPr>
        <w:t>Proposal 6. Option 2 is preferred for waveform.</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With regard to DMRS, the DMRS type and DMRS sequence need further discussion.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val="0"/>
              <w:topLinePunct w:val="0"/>
              <w:autoSpaceDE w:val="0"/>
              <w:autoSpaceDN w:val="0"/>
              <w:bidi w:val="0"/>
              <w:adjustRightInd w:val="0"/>
              <w:snapToGrid w:val="0"/>
              <w:spacing w:after="180" w:afterLines="0" w:line="240" w:lineRule="auto"/>
              <w:textAlignment w:val="baseline"/>
              <w:rPr>
                <w:b/>
                <w:sz w:val="20"/>
                <w:szCs w:val="20"/>
                <w:u w:val="single"/>
              </w:rPr>
            </w:pPr>
            <w:r>
              <w:rPr>
                <w:b/>
                <w:sz w:val="20"/>
                <w:szCs w:val="20"/>
                <w:u w:val="single"/>
              </w:rPr>
              <w:t>DMRS configuration</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Cover DMRS configuration type 1. FFS whether to include DMRS configuration type 2.</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Use DMRS port #0 for both serving and interfering PUSCH</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On DMRS sequence generation, use different DMRS sequence for each gNB:</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CP-OFDM: n</w:t>
            </w:r>
            <w:r>
              <w:rPr>
                <w:sz w:val="20"/>
                <w:szCs w:val="20"/>
                <w:vertAlign w:val="subscript"/>
                <w:lang w:eastAsia="zh-CN"/>
              </w:rPr>
              <w:t>SCID</w:t>
            </w:r>
            <w:r>
              <w:rPr>
                <w:sz w:val="20"/>
                <w:szCs w:val="20"/>
                <w:lang w:eastAsia="zh-CN"/>
              </w:rPr>
              <w:t xml:space="preserve"> =0 for all </w:t>
            </w:r>
            <w:r>
              <w:rPr>
                <w:sz w:val="20"/>
                <w:szCs w:val="20"/>
                <w:lang w:val="en-US"/>
              </w:rPr>
              <w:t>cells</w:t>
            </w:r>
            <w:r>
              <w:rPr>
                <w:sz w:val="20"/>
                <w:szCs w:val="20"/>
                <w:lang w:eastAsia="zh-CN"/>
              </w:rPr>
              <w:t xml:space="preserve"> and</w:t>
            </w:r>
            <w:r>
              <w:rPr>
                <w:sz w:val="20"/>
                <w:szCs w:val="20"/>
              </w:rPr>
              <w:t xml:space="preserve"> N</w:t>
            </w:r>
            <w:r>
              <w:rPr>
                <w:sz w:val="20"/>
                <w:szCs w:val="20"/>
                <w:vertAlign w:val="subscript"/>
              </w:rPr>
              <w:t>ID</w:t>
            </w:r>
            <w:r>
              <w:rPr>
                <w:rFonts w:cs="Arial"/>
                <w:sz w:val="20"/>
                <w:szCs w:val="20"/>
                <w:vertAlign w:val="superscript"/>
              </w:rPr>
              <w:t>0</w:t>
            </w:r>
            <w:r>
              <w:rPr>
                <w:sz w:val="20"/>
                <w:szCs w:val="20"/>
              </w:rPr>
              <w:t>=0, 1 and 2 for cell #0 (serving), cell #1 and cell#2 (interfering) respectively</w:t>
            </w:r>
          </w:p>
          <w:p>
            <w:pPr>
              <w:pStyle w:val="33"/>
              <w:keepNext w:val="0"/>
              <w:keepLines w:val="0"/>
              <w:pageBreakBefore w:val="0"/>
              <w:numPr>
                <w:ilvl w:val="0"/>
                <w:numId w:val="10"/>
              </w:numPr>
              <w:kinsoku/>
              <w:wordWrap/>
              <w:overflowPunct/>
              <w:topLinePunct w:val="0"/>
              <w:autoSpaceDE/>
              <w:autoSpaceDN/>
              <w:bidi w:val="0"/>
              <w:adjustRightInd w:val="0"/>
              <w:snapToGrid w:val="0"/>
              <w:spacing w:before="60" w:after="180" w:afterLines="0" w:line="240" w:lineRule="auto"/>
              <w:ind w:firstLineChars="0"/>
              <w:textAlignment w:val="auto"/>
              <w:rPr>
                <w:rFonts w:hint="eastAsia" w:cs="Times New Roman"/>
                <w:kern w:val="2"/>
                <w:sz w:val="20"/>
                <w:szCs w:val="20"/>
                <w:vertAlign w:val="baseline"/>
                <w:lang w:val="en-US" w:eastAsia="zh-CN" w:bidi="ar-SA"/>
              </w:rPr>
            </w:pPr>
            <w:r>
              <w:rPr>
                <w:rFonts w:hint="eastAsia" w:eastAsiaTheme="minorEastAsia"/>
                <w:sz w:val="20"/>
                <w:szCs w:val="20"/>
                <w:lang w:eastAsia="zh-CN"/>
              </w:rPr>
              <w:t>F</w:t>
            </w:r>
            <w:r>
              <w:rPr>
                <w:rFonts w:eastAsiaTheme="minorEastAsia"/>
                <w:sz w:val="20"/>
                <w:szCs w:val="20"/>
                <w:lang w:eastAsia="zh-CN"/>
              </w:rPr>
              <w:t>FS DMRS sequence generation configuration for DFT-s-DFDM</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It is pointed by company that type 2 DMRS needs to be included to ensure the covariance matrix estimation accuracy. From the initial simulation results provided last meeting, MMSE-IRC shows obvious gain compared to MMSE. Maybe type 2 DMRS can provide better accuracy for covariance matrix estimation, but from the perspective of performance requirement, it is preferred to consider only type 1.</w:t>
      </w:r>
    </w:p>
    <w:p>
      <w:pPr>
        <w:widowControl w:val="0"/>
        <w:spacing w:beforeLines="100" w:afterLines="0" w:line="240" w:lineRule="auto"/>
        <w:jc w:val="both"/>
        <w:rPr>
          <w:rFonts w:hint="default"/>
          <w:sz w:val="20"/>
          <w:szCs w:val="20"/>
          <w:lang w:val="en-US" w:eastAsia="zh-CN"/>
        </w:rPr>
      </w:pPr>
      <w:r>
        <w:rPr>
          <w:rFonts w:hint="eastAsia"/>
          <w:b/>
          <w:bCs/>
          <w:i/>
          <w:iCs/>
          <w:szCs w:val="21"/>
          <w:lang w:val="en-US" w:eastAsia="zh-CN"/>
        </w:rPr>
        <w:t>Proposal 7. To only consider DMRS configuration type 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test requirement definition, two options are recognized.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u w:val="single"/>
              </w:rPr>
            </w:pPr>
            <w:r>
              <w:rPr>
                <w:b/>
                <w:u w:val="single"/>
              </w:rPr>
              <w:t>Test requirement definition</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lang w:eastAsia="zh-CN"/>
              </w:rPr>
            </w:pPr>
            <w:r>
              <w:rPr>
                <w:rFonts w:eastAsia="宋体"/>
                <w:lang w:eastAsia="zh-CN"/>
              </w:rPr>
              <w:t>Candidate options:</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lang w:eastAsia="zh-CN"/>
              </w:rPr>
            </w:pPr>
            <w:r>
              <w:rPr>
                <w:lang w:eastAsia="zh-CN"/>
              </w:rPr>
              <w:t>Option 1: FFS whether SINR based definition is needed</w:t>
            </w:r>
          </w:p>
          <w:p>
            <w:pPr>
              <w:keepNext w:val="0"/>
              <w:keepLines w:val="0"/>
              <w:pageBreakBefore w:val="0"/>
              <w:widowControl w:val="0"/>
              <w:numPr>
                <w:ilvl w:val="1"/>
                <w:numId w:val="9"/>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eastAsia"/>
                <w:sz w:val="20"/>
                <w:szCs w:val="20"/>
                <w:vertAlign w:val="baseline"/>
                <w:lang w:val="en-US" w:eastAsia="zh-CN"/>
              </w:rPr>
            </w:pPr>
            <w:r>
              <w:rPr>
                <w:rFonts w:hint="eastAsia"/>
                <w:lang w:eastAsia="zh-CN"/>
              </w:rPr>
              <w:t>O</w:t>
            </w:r>
            <w:r>
              <w:rPr>
                <w:lang w:eastAsia="zh-CN"/>
              </w:rPr>
              <w:t>ption 2: Use the SNR based requirement definition</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Given a SNR and DIP set, the SINR can be derived. As for the </w:t>
      </w:r>
      <w:r>
        <w:rPr>
          <w:lang w:eastAsia="zh-CN"/>
        </w:rPr>
        <w:t>requirement definition</w:t>
      </w:r>
      <w:r>
        <w:rPr>
          <w:rFonts w:hint="eastAsia"/>
          <w:lang w:val="en-US" w:eastAsia="zh-CN"/>
        </w:rPr>
        <w:t xml:space="preserve">, SNR is preferred because it does not require the step of converting SNR to SINR.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8. Option 2 is preferred for test requirement definition.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With regard to manufacturer declaration, the following are proposed.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beforeLines="0" w:after="180" w:afterLines="0" w:line="240" w:lineRule="auto"/>
              <w:textAlignment w:val="auto"/>
              <w:rPr>
                <w:rFonts w:eastAsia="宋体"/>
                <w:b/>
                <w:u w:val="single"/>
                <w:lang w:eastAsia="en-US"/>
              </w:rPr>
            </w:pPr>
            <w:r>
              <w:rPr>
                <w:rFonts w:eastAsia="宋体"/>
                <w:b/>
                <w:u w:val="single"/>
                <w:lang w:eastAsia="en-US"/>
              </w:rPr>
              <w:t>Applicability rule for different test scenarios</w:t>
            </w:r>
          </w:p>
          <w:p>
            <w:pPr>
              <w:keepNext w:val="0"/>
              <w:keepLines w:val="0"/>
              <w:pageBreakBefore w:val="0"/>
              <w:numPr>
                <w:ilvl w:val="0"/>
                <w:numId w:val="11"/>
              </w:numPr>
              <w:kinsoku/>
              <w:wordWrap/>
              <w:overflowPunct/>
              <w:topLinePunct w:val="0"/>
              <w:autoSpaceDE/>
              <w:autoSpaceDN/>
              <w:bidi w:val="0"/>
              <w:adjustRightInd w:val="0"/>
              <w:snapToGrid w:val="0"/>
              <w:spacing w:beforeLines="0" w:after="180" w:afterLines="0" w:line="240" w:lineRule="auto"/>
              <w:ind w:left="284" w:hanging="284"/>
              <w:textAlignment w:val="auto"/>
              <w:rPr>
                <w:rFonts w:eastAsia="宋体"/>
                <w:lang w:eastAsia="zh-CN"/>
              </w:rPr>
            </w:pPr>
            <w:r>
              <w:rPr>
                <w:rFonts w:eastAsia="宋体"/>
                <w:lang w:eastAsia="zh-CN"/>
              </w:rPr>
              <w:t>Proposals on applicability for Homnet and Hetnet scenarios:</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bidi w:val="0"/>
              <w:adjustRightInd w:val="0"/>
              <w:snapToGrid w:val="0"/>
              <w:spacing w:beforeLines="0" w:after="180" w:afterLines="0" w:line="240" w:lineRule="auto"/>
              <w:ind w:left="730" w:leftChars="213" w:hanging="283"/>
              <w:textAlignment w:val="auto"/>
              <w:rPr>
                <w:lang w:eastAsia="zh-CN"/>
              </w:rPr>
            </w:pPr>
            <w:r>
              <w:rPr>
                <w:rFonts w:hint="eastAsia" w:eastAsia="等线"/>
                <w:lang w:eastAsia="zh-CN"/>
              </w:rPr>
              <w:t>P</w:t>
            </w:r>
            <w:r>
              <w:rPr>
                <w:rFonts w:eastAsia="等线"/>
                <w:lang w:eastAsia="zh-CN"/>
              </w:rPr>
              <w:t>roposal 1:</w:t>
            </w:r>
            <w:r>
              <w:rPr>
                <w:rFonts w:eastAsia="宋体"/>
                <w:lang w:eastAsia="en-US"/>
              </w:rPr>
              <w:t xml:space="preserve"> </w:t>
            </w:r>
            <w:r>
              <w:rPr>
                <w:rFonts w:eastAsia="等线"/>
                <w:lang w:eastAsia="zh-CN"/>
              </w:rPr>
              <w:t>HomNet requirements are not applicable for Local Area BS</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bidi w:val="0"/>
              <w:adjustRightInd w:val="0"/>
              <w:snapToGrid w:val="0"/>
              <w:spacing w:beforeLines="0" w:after="180" w:afterLines="0" w:line="240" w:lineRule="auto"/>
              <w:ind w:left="730" w:leftChars="213" w:hanging="283"/>
              <w:textAlignment w:val="auto"/>
              <w:rPr>
                <w:lang w:eastAsia="zh-CN"/>
              </w:rPr>
            </w:pPr>
            <w:r>
              <w:rPr>
                <w:rFonts w:hint="eastAsia" w:eastAsia="等线"/>
                <w:lang w:eastAsia="zh-CN"/>
              </w:rPr>
              <w:t>P</w:t>
            </w:r>
            <w:r>
              <w:rPr>
                <w:rFonts w:eastAsia="等线"/>
                <w:lang w:eastAsia="zh-CN"/>
              </w:rPr>
              <w:t>roposal 2: HomNet requirements are only applied for Wide area BS, and HetNet requirements are only applied for Home BS and Local BS</w:t>
            </w:r>
          </w:p>
          <w:p>
            <w:pPr>
              <w:keepNext w:val="0"/>
              <w:keepLines w:val="0"/>
              <w:pageBreakBefore w:val="0"/>
              <w:numPr>
                <w:ilvl w:val="0"/>
                <w:numId w:val="11"/>
              </w:numPr>
              <w:kinsoku/>
              <w:wordWrap/>
              <w:overflowPunct/>
              <w:topLinePunct w:val="0"/>
              <w:autoSpaceDE/>
              <w:autoSpaceDN/>
              <w:bidi w:val="0"/>
              <w:adjustRightInd w:val="0"/>
              <w:snapToGrid w:val="0"/>
              <w:spacing w:beforeLines="0" w:after="180" w:afterLines="0" w:line="240" w:lineRule="auto"/>
              <w:ind w:left="284" w:hanging="284"/>
              <w:textAlignment w:val="auto"/>
              <w:rPr>
                <w:rFonts w:eastAsia="等线"/>
                <w:lang w:eastAsia="zh-CN"/>
              </w:rPr>
            </w:pPr>
            <w:r>
              <w:rPr>
                <w:rFonts w:eastAsia="宋体"/>
                <w:lang w:eastAsia="zh-CN"/>
              </w:rPr>
              <w:t>Proposals on additional applicability rule:</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bidi w:val="0"/>
              <w:adjustRightInd w:val="0"/>
              <w:snapToGrid w:val="0"/>
              <w:spacing w:beforeLines="0" w:after="180" w:afterLines="0" w:line="240" w:lineRule="auto"/>
              <w:ind w:left="730" w:leftChars="213" w:hanging="283"/>
              <w:textAlignment w:val="auto"/>
              <w:rPr>
                <w:lang w:eastAsia="zh-CN"/>
              </w:rPr>
            </w:pPr>
            <w:r>
              <w:rPr>
                <w:rFonts w:eastAsia="等线"/>
                <w:lang w:eastAsia="zh-CN"/>
              </w:rPr>
              <w:t>Proposal 1: If a BS declared to support Wide Area BS, Medium Range BS and pass the tests for HomNet (DIP Set1), the test for HetNet (DIP Set 2) can be skipped</w:t>
            </w:r>
          </w:p>
          <w:p>
            <w:pPr>
              <w:keepNext w:val="0"/>
              <w:keepLines w:val="0"/>
              <w:pageBreakBefore w:val="0"/>
              <w:widowControl w:val="0"/>
              <w:numPr>
                <w:ilvl w:val="1"/>
                <w:numId w:val="9"/>
              </w:numPr>
              <w:tabs>
                <w:tab w:val="left" w:pos="484"/>
                <w:tab w:val="left" w:pos="709"/>
                <w:tab w:val="left" w:pos="1440"/>
                <w:tab w:val="left" w:pos="1701"/>
              </w:tabs>
              <w:kinsoku/>
              <w:wordWrap/>
              <w:overflowPunct/>
              <w:topLinePunct w:val="0"/>
              <w:autoSpaceDE/>
              <w:autoSpaceDN/>
              <w:bidi w:val="0"/>
              <w:adjustRightInd w:val="0"/>
              <w:snapToGrid w:val="0"/>
              <w:spacing w:beforeLines="0" w:after="180" w:afterLines="0" w:line="240" w:lineRule="auto"/>
              <w:ind w:left="730" w:leftChars="213" w:hanging="283"/>
              <w:textAlignment w:val="auto"/>
              <w:rPr>
                <w:rFonts w:hint="default"/>
                <w:sz w:val="20"/>
                <w:szCs w:val="20"/>
                <w:vertAlign w:val="baseline"/>
                <w:lang w:val="en-US" w:eastAsia="zh-CN"/>
              </w:rPr>
            </w:pPr>
            <w:r>
              <w:rPr>
                <w:rFonts w:hint="eastAsia" w:eastAsia="等线"/>
                <w:lang w:eastAsia="zh-CN"/>
              </w:rPr>
              <w:t>P</w:t>
            </w:r>
            <w:r>
              <w:rPr>
                <w:rFonts w:eastAsia="等线"/>
                <w:lang w:eastAsia="zh-CN"/>
              </w:rPr>
              <w:t>roposal 2: Introduce the applicability rules that only one of HomNet and HetNet scenarios is tested</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From LTE specification, we can find that set 1(</w:t>
      </w:r>
      <w:r>
        <w:rPr>
          <w:rFonts w:eastAsia="等线"/>
          <w:lang w:eastAsia="zh-CN"/>
        </w:rPr>
        <w:t xml:space="preserve"> HomNet</w:t>
      </w:r>
      <w:r>
        <w:rPr>
          <w:rFonts w:hint="eastAsia"/>
          <w:sz w:val="20"/>
          <w:szCs w:val="20"/>
          <w:lang w:val="en-US" w:eastAsia="zh-CN"/>
        </w:rPr>
        <w:t xml:space="preserve">) not applicable for Local Area BS and Home BS. Proposal 2 says that the HetNet requirements are only applied for Home BS and local BS which means that HetNet requirements are not applied for </w:t>
      </w:r>
      <w:r>
        <w:rPr>
          <w:rFonts w:eastAsia="等线"/>
          <w:lang w:eastAsia="zh-CN"/>
        </w:rPr>
        <w:t>Wide Area BS</w:t>
      </w:r>
      <w:r>
        <w:rPr>
          <w:rFonts w:hint="eastAsia"/>
          <w:sz w:val="20"/>
          <w:szCs w:val="20"/>
          <w:lang w:val="en-US" w:eastAsia="zh-CN"/>
        </w:rPr>
        <w:t xml:space="preserve"> while LTE does not have this restriction. From the perspective of test effort, it can be considered to test one of the scenarios(HomNet and HetNet).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b/>
          <w:bCs/>
          <w:i/>
          <w:iCs/>
          <w:szCs w:val="21"/>
          <w:lang w:val="en-US" w:eastAsia="zh-CN"/>
        </w:rPr>
        <w:t>Proposal 9. Proposal 1 is preferred when considering applicability for Homnet and Hetnet scenarios.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10. Proposal 1 is preferred when considering additional applicability rule.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of MMSE-IRC receiver for NR BS, The conclusions are:</w:t>
      </w:r>
    </w:p>
    <w:p>
      <w:pPr>
        <w:keepNext w:val="0"/>
        <w:keepLines w:val="0"/>
        <w:pageBreakBefore w:val="0"/>
        <w:widowControl w:val="0"/>
        <w:kinsoku/>
        <w:wordWrap/>
        <w:overflowPunct/>
        <w:topLinePunct w:val="0"/>
        <w:autoSpaceDE/>
        <w:bidi w:val="0"/>
        <w:adjustRightInd w:val="0"/>
        <w:snapToGrid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In some scenarios, obvious performance gain , such as 2 dB or above, can be observed for 2 interfers 2Rx.</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Proposal 1. To consider option 1 for BS MMSE-IRC requirements and option 1B is preferred if the MMSE-IRC gain is observed from companies</w:t>
      </w:r>
      <w:r>
        <w:rPr>
          <w:rFonts w:hint="default"/>
          <w:b/>
          <w:bCs/>
          <w:i/>
          <w:iCs/>
          <w:sz w:val="20"/>
          <w:szCs w:val="20"/>
          <w:lang w:val="en-US" w:eastAsia="zh-CN"/>
        </w:rPr>
        <w:t>’</w:t>
      </w:r>
      <w:r>
        <w:rPr>
          <w:rFonts w:hint="eastAsia"/>
          <w:b/>
          <w:bCs/>
          <w:i/>
          <w:iCs/>
          <w:sz w:val="20"/>
          <w:szCs w:val="20"/>
          <w:lang w:val="en-US" w:eastAsia="zh-CN"/>
        </w:rPr>
        <w:t xml:space="preserve"> simulation results</w:t>
      </w:r>
      <w:r>
        <w:rPr>
          <w:rFonts w:hint="eastAsia"/>
          <w:b/>
          <w:bCs/>
          <w:i/>
          <w:iCs/>
          <w:sz w:val="2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 xml:space="preserve">Proposal 2. To consider option 3 for CHBW for requirement definition for CP-OFDM </w:t>
      </w:r>
      <w:r>
        <w:rPr>
          <w:rFonts w:hint="eastAsia"/>
          <w:b/>
          <w:bCs/>
          <w:i/>
          <w:iCs/>
          <w:sz w:val="20"/>
          <w:lang w:val="en-US" w:eastAsia="zh-CN"/>
        </w:rPr>
        <w:t xml:space="preserve">. </w:t>
      </w:r>
    </w:p>
    <w:p>
      <w:pPr>
        <w:keepNext w:val="0"/>
        <w:keepLines w:val="0"/>
        <w:pageBreakBefore w:val="0"/>
        <w:widowControl w:val="0"/>
        <w:kinsoku/>
        <w:wordWrap/>
        <w:overflowPunct/>
        <w:topLinePunct w:val="0"/>
        <w:autoSpaceDE/>
        <w:bidi w:val="0"/>
        <w:adjustRightInd w:val="0"/>
        <w:snapToGrid w:val="0"/>
        <w:spacing w:beforeLines="100" w:afterLines="0" w:line="240" w:lineRule="auto"/>
        <w:jc w:val="both"/>
        <w:rPr>
          <w:rFonts w:hint="eastAsia"/>
          <w:b/>
          <w:bCs/>
          <w:i/>
          <w:iCs/>
          <w:sz w:val="20"/>
          <w:szCs w:val="20"/>
          <w:lang w:val="en-US" w:eastAsia="zh-CN"/>
        </w:rPr>
      </w:pPr>
      <w:r>
        <w:rPr>
          <w:rFonts w:hint="eastAsia"/>
          <w:b/>
          <w:bCs/>
          <w:i/>
          <w:iCs/>
          <w:sz w:val="20"/>
          <w:szCs w:val="20"/>
          <w:lang w:val="en-US" w:eastAsia="zh-CN"/>
        </w:rPr>
        <w:t>Proposal 3. To consider the following MCSs for performance evaluation:</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 xml:space="preserve">For 2Rx: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cs="Times New Roman"/>
          <w:b/>
          <w:bCs/>
          <w:sz w:val="20"/>
          <w:szCs w:val="20"/>
        </w:rPr>
      </w:pPr>
      <w:r>
        <w:rPr>
          <w:rFonts w:hint="default" w:ascii="Times New Roman" w:hAnsi="Times New Roman" w:eastAsia="宋体" w:cs="Times New Roman"/>
          <w:b/>
          <w:bCs/>
          <w:i/>
          <w:iCs/>
          <w:kern w:val="2"/>
          <w:sz w:val="20"/>
          <w:szCs w:val="20"/>
          <w:lang w:val="en-US" w:eastAsia="zh-CN" w:bidi="ar-SA"/>
        </w:rPr>
        <w:t>Option 1: MCS 2</w:t>
      </w:r>
      <w:r>
        <w:rPr>
          <w:rFonts w:hint="default" w:ascii="Times New Roman" w:hAnsi="Times New Roman" w:cs="Times New Roman"/>
          <w:b/>
          <w:bCs/>
          <w:sz w:val="20"/>
          <w:szCs w:val="20"/>
        </w:rPr>
        <w:t xml:space="preserve">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cs="Times New Roman"/>
          <w:b/>
          <w:bCs/>
          <w:sz w:val="20"/>
          <w:szCs w:val="20"/>
        </w:rPr>
      </w:pPr>
      <w:r>
        <w:rPr>
          <w:rFonts w:hint="default" w:ascii="Times New Roman" w:hAnsi="Times New Roman" w:eastAsia="宋体" w:cs="Times New Roman"/>
          <w:b/>
          <w:bCs/>
          <w:i/>
          <w:iCs/>
          <w:kern w:val="2"/>
          <w:sz w:val="20"/>
          <w:szCs w:val="20"/>
          <w:lang w:val="en-US" w:eastAsia="zh-CN" w:bidi="ar-SA"/>
        </w:rPr>
        <w:t>For 4Rx:</w:t>
      </w:r>
      <w:r>
        <w:rPr>
          <w:rFonts w:hint="default" w:ascii="Times New Roman" w:hAnsi="Times New Roman" w:cs="Times New Roman"/>
          <w:b/>
          <w:bCs/>
          <w:sz w:val="20"/>
          <w:szCs w:val="20"/>
        </w:rPr>
        <w:t xml:space="preserve">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Option 1: MCS 16</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493" w:leftChars="235" w:firstLine="400"/>
        <w:textAlignment w:val="baseline"/>
        <w:rPr>
          <w:rFonts w:hint="default" w:ascii="Times New Roman" w:hAnsi="Times New Roman" w:cs="Times New Roman"/>
          <w:b/>
          <w:bCs/>
          <w:sz w:val="20"/>
          <w:szCs w:val="20"/>
        </w:rPr>
      </w:pPr>
      <w:r>
        <w:rPr>
          <w:rFonts w:hint="default" w:ascii="Times New Roman" w:hAnsi="Times New Roman" w:eastAsia="宋体" w:cs="Times New Roman"/>
          <w:b/>
          <w:bCs/>
          <w:i/>
          <w:iCs/>
          <w:kern w:val="2"/>
          <w:sz w:val="20"/>
          <w:szCs w:val="20"/>
          <w:lang w:val="en-US" w:eastAsia="zh-CN" w:bidi="ar-SA"/>
        </w:rPr>
        <w:t>For 8Rx:</w:t>
      </w:r>
      <w:r>
        <w:rPr>
          <w:rFonts w:hint="default" w:ascii="Times New Roman" w:hAnsi="Times New Roman" w:cs="Times New Roman"/>
          <w:b/>
          <w:bCs/>
          <w:sz w:val="20"/>
          <w:szCs w:val="20"/>
        </w:rPr>
        <w:t xml:space="preserve"> </w:t>
      </w:r>
    </w:p>
    <w:p>
      <w:pPr>
        <w:pStyle w:val="33"/>
        <w:keepNext w:val="0"/>
        <w:keepLines w:val="0"/>
        <w:pageBreakBefore w:val="0"/>
        <w:kinsoku/>
        <w:wordWrap/>
        <w:overflowPunct/>
        <w:topLinePunct w:val="0"/>
        <w:autoSpaceDE/>
        <w:autoSpaceDN w:val="0"/>
        <w:bidi w:val="0"/>
        <w:adjustRightInd w:val="0"/>
        <w:snapToGrid w:val="0"/>
        <w:spacing w:before="60" w:after="180" w:afterLines="0" w:line="240" w:lineRule="auto"/>
        <w:ind w:left="1088" w:leftChars="518" w:firstLine="400"/>
        <w:textAlignment w:val="baseline"/>
        <w:rPr>
          <w:rFonts w:hint="default"/>
          <w:b/>
          <w:bCs/>
          <w:sz w:val="20"/>
          <w:szCs w:val="20"/>
          <w:lang w:val="en-US" w:eastAsia="zh-CN"/>
        </w:rPr>
      </w:pPr>
      <w:r>
        <w:rPr>
          <w:rFonts w:hint="default" w:ascii="Times New Roman" w:hAnsi="Times New Roman" w:eastAsia="宋体" w:cs="Times New Roman"/>
          <w:b/>
          <w:bCs/>
          <w:i/>
          <w:iCs/>
          <w:kern w:val="2"/>
          <w:sz w:val="20"/>
          <w:szCs w:val="20"/>
          <w:lang w:val="fr-FR" w:eastAsia="zh-CN" w:bidi="ar-SA"/>
        </w:rPr>
        <w:t>Option 1: MCS 20</w:t>
      </w:r>
    </w:p>
    <w:p>
      <w:pPr>
        <w:keepNext w:val="0"/>
        <w:keepLines w:val="0"/>
        <w:pageBreakBefore w:val="0"/>
        <w:widowControl w:val="0"/>
        <w:kinsoku/>
        <w:wordWrap/>
        <w:overflowPunct/>
        <w:topLinePunct w:val="0"/>
        <w:autoSpaceDE/>
        <w:bidi w:val="0"/>
        <w:adjustRightInd w:val="0"/>
        <w:snapToGrid w:val="0"/>
        <w:spacing w:beforeLines="100" w:afterLines="0" w:line="240" w:lineRule="auto"/>
        <w:jc w:val="both"/>
        <w:rPr>
          <w:rFonts w:hint="default"/>
          <w:sz w:val="20"/>
          <w:szCs w:val="20"/>
          <w:lang w:val="en-US" w:eastAsia="zh-CN"/>
        </w:rPr>
      </w:pPr>
      <w:r>
        <w:rPr>
          <w:rFonts w:hint="eastAsia"/>
          <w:b/>
          <w:bCs/>
          <w:i/>
          <w:iCs/>
          <w:sz w:val="20"/>
          <w:szCs w:val="20"/>
          <w:lang w:val="en-US" w:eastAsia="zh-CN"/>
        </w:rPr>
        <w:t>Proposal 4. To consider applicability rule when different Rx with different MCS requirement are involved.</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default"/>
          <w:sz w:val="20"/>
          <w:szCs w:val="20"/>
          <w:lang w:val="en-US" w:eastAsia="zh-CN"/>
        </w:rPr>
      </w:pPr>
      <w:r>
        <w:rPr>
          <w:rFonts w:hint="eastAsia"/>
          <w:b/>
          <w:bCs/>
          <w:i/>
          <w:iCs/>
          <w:sz w:val="20"/>
          <w:szCs w:val="20"/>
          <w:lang w:val="en-US" w:eastAsia="zh-CN"/>
        </w:rPr>
        <w:t>Proposal 5. To consider option 1 for channel model of serving cell.</w:t>
      </w:r>
    </w:p>
    <w:p>
      <w:pPr>
        <w:keepNext w:val="0"/>
        <w:keepLines w:val="0"/>
        <w:pageBreakBefore w:val="0"/>
        <w:widowControl w:val="0"/>
        <w:kinsoku/>
        <w:wordWrap/>
        <w:overflowPunct/>
        <w:topLinePunct w:val="0"/>
        <w:autoSpaceDE/>
        <w:bidi w:val="0"/>
        <w:adjustRightInd w:val="0"/>
        <w:snapToGrid w:val="0"/>
        <w:spacing w:beforeLines="100" w:afterLines="0" w:line="240" w:lineRule="auto"/>
        <w:jc w:val="both"/>
        <w:rPr>
          <w:rFonts w:hint="eastAsia" w:cs="Times New Roman"/>
          <w:kern w:val="2"/>
          <w:sz w:val="20"/>
          <w:szCs w:val="20"/>
          <w:lang w:val="en-US" w:eastAsia="zh-CN" w:bidi="ar-SA"/>
        </w:rPr>
      </w:pPr>
      <w:r>
        <w:rPr>
          <w:rFonts w:hint="eastAsia"/>
          <w:b/>
          <w:bCs/>
          <w:i/>
          <w:iCs/>
          <w:sz w:val="20"/>
          <w:szCs w:val="20"/>
          <w:lang w:val="en-US" w:eastAsia="zh-CN"/>
        </w:rPr>
        <w:t>Proposal 6. Option 2 is preferred for waveform.</w:t>
      </w:r>
    </w:p>
    <w:p>
      <w:pPr>
        <w:keepNext w:val="0"/>
        <w:keepLines w:val="0"/>
        <w:pageBreakBefore w:val="0"/>
        <w:widowControl w:val="0"/>
        <w:kinsoku/>
        <w:wordWrap/>
        <w:overflowPunct/>
        <w:topLinePunct w:val="0"/>
        <w:autoSpaceDE/>
        <w:bidi w:val="0"/>
        <w:adjustRightInd w:val="0"/>
        <w:snapToGrid w:val="0"/>
        <w:spacing w:beforeLines="100" w:afterLines="0" w:line="240" w:lineRule="auto"/>
        <w:jc w:val="both"/>
        <w:rPr>
          <w:rFonts w:hint="default"/>
          <w:sz w:val="20"/>
          <w:szCs w:val="20"/>
          <w:lang w:val="en-US" w:eastAsia="zh-CN"/>
        </w:rPr>
      </w:pPr>
      <w:r>
        <w:rPr>
          <w:rFonts w:hint="eastAsia"/>
          <w:b/>
          <w:bCs/>
          <w:i/>
          <w:iCs/>
          <w:szCs w:val="21"/>
          <w:lang w:val="en-US" w:eastAsia="zh-CN"/>
        </w:rPr>
        <w:t>Proposal 7. To only consider DMRS configuration type 1.</w:t>
      </w:r>
    </w:p>
    <w:p>
      <w:pPr>
        <w:keepNext w:val="0"/>
        <w:keepLines w:val="0"/>
        <w:pageBreakBefore w:val="0"/>
        <w:widowControl w:val="0"/>
        <w:kinsoku/>
        <w:wordWrap/>
        <w:overflowPunct/>
        <w:topLinePunct w:val="0"/>
        <w:autoSpaceDE/>
        <w:bidi w:val="0"/>
        <w:adjustRightInd w:val="0"/>
        <w:snapToGrid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8. Option 2 is preferred for test requirement definition.</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b/>
          <w:bCs/>
          <w:i/>
          <w:iCs/>
          <w:szCs w:val="21"/>
          <w:lang w:val="en-US" w:eastAsia="zh-CN"/>
        </w:rPr>
        <w:t>Proposal 9. Proposal 1 is preferred when considering applicability for Homnet and Hetnet scenarios.</w:t>
      </w:r>
    </w:p>
    <w:p>
      <w:pPr>
        <w:keepNext w:val="0"/>
        <w:keepLines w:val="0"/>
        <w:pageBreakBefore w:val="0"/>
        <w:widowControl w:val="0"/>
        <w:kinsoku/>
        <w:wordWrap/>
        <w:overflowPunct/>
        <w:topLinePunct w:val="0"/>
        <w:autoSpaceDE/>
        <w:bidi w:val="0"/>
        <w:adjustRightInd w:val="0"/>
        <w:snapToGrid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10. Proposal 1 is preferred when considering additional applicability rule.</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eastAsia"/>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2"/>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RP-241297, Revised WID on NR demodulation performance: Phase 5, . </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R4-2419780</w:t>
      </w:r>
      <w:r>
        <w:rPr>
          <w:rFonts w:hint="eastAsia"/>
          <w:sz w:val="20"/>
          <w:lang w:val="en-US" w:eastAsia="zh-CN"/>
        </w:rPr>
        <w:t>, Way Forward for [113] [321] NR_demod_Ph5_Part1_General_BS</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R4-2419170</w:t>
      </w:r>
      <w:r>
        <w:rPr>
          <w:rFonts w:hint="eastAsia"/>
          <w:sz w:val="20"/>
          <w:lang w:val="en-US" w:eastAsia="zh-CN"/>
        </w:rPr>
        <w:t>,</w:t>
      </w:r>
      <w:r>
        <w:rPr>
          <w:rFonts w:hint="default"/>
          <w:sz w:val="20"/>
          <w:lang w:val="en-US" w:eastAsia="zh-CN"/>
        </w:rPr>
        <w:t xml:space="preserve"> Performance comparison with 1 or 2 interferers for 2Rx</w:t>
      </w:r>
      <w:r>
        <w:rPr>
          <w:rFonts w:hint="eastAsia"/>
          <w:sz w:val="20"/>
          <w:lang w:val="en-US" w:eastAsia="zh-CN"/>
        </w:rPr>
        <w:t>, ZTE Corporation, Sanechips</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3GPP TS 36.104 V18.5.0</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4CD5D2"/>
    <w:multiLevelType w:val="singleLevel"/>
    <w:tmpl w:val="094CD5D2"/>
    <w:lvl w:ilvl="0" w:tentative="0">
      <w:start w:val="2"/>
      <w:numFmt w:val="decimal"/>
      <w:lvlText w:val="%1"/>
      <w:lvlJc w:val="left"/>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0"/>
  </w:num>
  <w:num w:numId="3">
    <w:abstractNumId w:val="5"/>
  </w:num>
  <w:num w:numId="4">
    <w:abstractNumId w:val="6"/>
  </w:num>
  <w:num w:numId="5">
    <w:abstractNumId w:val="1"/>
  </w:num>
  <w:num w:numId="6">
    <w:abstractNumId w:val="0"/>
  </w:num>
  <w:num w:numId="7">
    <w:abstractNumId w:val="11"/>
  </w:num>
  <w:num w:numId="8">
    <w:abstractNumId w:val="2"/>
  </w:num>
  <w:num w:numId="9">
    <w:abstractNumId w:val="4"/>
  </w:num>
  <w:num w:numId="10">
    <w:abstractNumId w:val="7"/>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0C4E29"/>
    <w:rsid w:val="161C1C58"/>
    <w:rsid w:val="162F7556"/>
    <w:rsid w:val="16307A49"/>
    <w:rsid w:val="16413A3A"/>
    <w:rsid w:val="1644500C"/>
    <w:rsid w:val="16461A95"/>
    <w:rsid w:val="16555897"/>
    <w:rsid w:val="165923F8"/>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6717F"/>
    <w:rsid w:val="1D5F5386"/>
    <w:rsid w:val="1D7072CE"/>
    <w:rsid w:val="1D794A16"/>
    <w:rsid w:val="1D887F78"/>
    <w:rsid w:val="1D9E30A9"/>
    <w:rsid w:val="1DA42735"/>
    <w:rsid w:val="1DAB1006"/>
    <w:rsid w:val="1DB33C11"/>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18</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2025-02-07T11:25:22Z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